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center"/>
        <w:rPr>
          <w:rFonts w:ascii="宋体" w:hAnsi="宋体" w:eastAsia="宋体" w:cs="宋体"/>
          <w:b/>
          <w:snapToGrid w:val="0"/>
          <w:kern w:val="0"/>
          <w:sz w:val="44"/>
          <w:szCs w:val="44"/>
          <w:highlight w:val="none"/>
          <w:lang w:val="zh-CN"/>
        </w:rPr>
      </w:pPr>
      <w:bookmarkStart w:id="0" w:name="Content"/>
      <w:r>
        <w:rPr>
          <w:rFonts w:hint="eastAsia" w:ascii="宋体" w:hAnsi="宋体" w:eastAsia="宋体" w:cs="宋体"/>
          <w:b/>
          <w:snapToGrid w:val="0"/>
          <w:kern w:val="0"/>
          <w:sz w:val="44"/>
          <w:szCs w:val="44"/>
          <w:highlight w:val="none"/>
          <w:u w:val="single"/>
        </w:rPr>
        <w:t>杭州临江环境能源有限公司</w:t>
      </w:r>
    </w:p>
    <w:p>
      <w:pPr>
        <w:pStyle w:val="13"/>
        <w:snapToGrid w:val="0"/>
        <w:spacing w:line="360" w:lineRule="auto"/>
        <w:jc w:val="center"/>
        <w:rPr>
          <w:rFonts w:hAnsi="宋体" w:cs="宋体"/>
          <w:b/>
          <w:snapToGrid w:val="0"/>
          <w:sz w:val="44"/>
          <w:szCs w:val="44"/>
          <w:highlight w:val="none"/>
          <w:u w:val="single"/>
          <w:lang w:val="zh-CN"/>
        </w:rPr>
      </w:pPr>
      <w:r>
        <w:rPr>
          <w:rFonts w:hint="eastAsia" w:hAnsi="宋体" w:cs="宋体"/>
          <w:b/>
          <w:snapToGrid w:val="0"/>
          <w:sz w:val="44"/>
          <w:szCs w:val="44"/>
          <w:highlight w:val="none"/>
          <w:u w:val="single"/>
          <w:lang w:val="zh-CN"/>
        </w:rPr>
        <w:t>2024-2026年度起重设备及抓斗维保采购项目</w:t>
      </w:r>
    </w:p>
    <w:p>
      <w:pPr>
        <w:autoSpaceDE w:val="0"/>
        <w:autoSpaceDN w:val="0"/>
        <w:adjustRightInd w:val="0"/>
        <w:snapToGrid w:val="0"/>
        <w:spacing w:line="360" w:lineRule="auto"/>
        <w:jc w:val="center"/>
        <w:rPr>
          <w:rFonts w:ascii="宋体" w:hAnsi="宋体" w:eastAsia="宋体" w:cs="宋体"/>
          <w:snapToGrid w:val="0"/>
          <w:kern w:val="0"/>
          <w:sz w:val="52"/>
          <w:szCs w:val="52"/>
          <w:highlight w:val="none"/>
        </w:rPr>
      </w:pPr>
    </w:p>
    <w:p>
      <w:pPr>
        <w:rPr>
          <w:highlight w:val="none"/>
        </w:rPr>
      </w:pPr>
    </w:p>
    <w:p>
      <w:pPr>
        <w:autoSpaceDE w:val="0"/>
        <w:autoSpaceDN w:val="0"/>
        <w:adjustRightInd w:val="0"/>
        <w:snapToGrid w:val="0"/>
        <w:spacing w:line="360" w:lineRule="auto"/>
        <w:jc w:val="center"/>
        <w:rPr>
          <w:rFonts w:ascii="宋体" w:hAnsi="宋体" w:eastAsia="宋体" w:cs="宋体"/>
          <w:bCs/>
          <w:snapToGrid w:val="0"/>
          <w:kern w:val="0"/>
          <w:sz w:val="72"/>
          <w:szCs w:val="72"/>
          <w:highlight w:val="none"/>
        </w:rPr>
      </w:pPr>
      <w:r>
        <w:rPr>
          <w:rFonts w:hint="eastAsia" w:ascii="宋体" w:hAnsi="宋体" w:eastAsia="宋体" w:cs="宋体"/>
          <w:bCs/>
          <w:snapToGrid w:val="0"/>
          <w:kern w:val="0"/>
          <w:sz w:val="72"/>
          <w:szCs w:val="72"/>
          <w:highlight w:val="none"/>
        </w:rPr>
        <w:t>招标文件</w:t>
      </w:r>
    </w:p>
    <w:p>
      <w:pPr>
        <w:autoSpaceDE w:val="0"/>
        <w:autoSpaceDN w:val="0"/>
        <w:adjustRightInd w:val="0"/>
        <w:snapToGrid w:val="0"/>
        <w:spacing w:line="360" w:lineRule="auto"/>
        <w:jc w:val="center"/>
        <w:rPr>
          <w:rFonts w:ascii="宋体" w:hAnsi="宋体" w:eastAsia="宋体" w:cs="宋体"/>
          <w:b/>
          <w:snapToGrid w:val="0"/>
          <w:kern w:val="0"/>
          <w:szCs w:val="32"/>
          <w:highlight w:val="none"/>
        </w:rPr>
      </w:pPr>
    </w:p>
    <w:p>
      <w:pPr>
        <w:autoSpaceDE w:val="0"/>
        <w:autoSpaceDN w:val="0"/>
        <w:adjustRightInd w:val="0"/>
        <w:snapToGrid w:val="0"/>
        <w:spacing w:line="360" w:lineRule="auto"/>
        <w:jc w:val="center"/>
        <w:rPr>
          <w:rFonts w:ascii="宋体" w:hAnsi="宋体" w:eastAsia="宋体" w:cs="宋体"/>
          <w:b/>
          <w:snapToGrid w:val="0"/>
          <w:kern w:val="0"/>
          <w:szCs w:val="32"/>
          <w:highlight w:val="none"/>
          <w:u w:val="single"/>
        </w:rPr>
      </w:pPr>
      <w:r>
        <w:rPr>
          <w:rFonts w:hint="eastAsia" w:ascii="宋体" w:hAnsi="宋体" w:eastAsia="宋体" w:cs="宋体"/>
          <w:b/>
          <w:snapToGrid w:val="0"/>
          <w:kern w:val="0"/>
          <w:szCs w:val="32"/>
          <w:highlight w:val="none"/>
        </w:rPr>
        <w:t>招标编号：</w:t>
      </w:r>
      <w:r>
        <w:rPr>
          <w:rFonts w:hint="eastAsia" w:ascii="宋体" w:hAnsi="宋体" w:eastAsia="宋体" w:cs="宋体"/>
          <w:b/>
          <w:snapToGrid w:val="0"/>
          <w:kern w:val="0"/>
          <w:szCs w:val="32"/>
          <w:highlight w:val="none"/>
          <w:u w:val="single"/>
        </w:rPr>
        <w:t>NY-1FZB2410089</w:t>
      </w:r>
    </w:p>
    <w:p>
      <w:pPr>
        <w:pStyle w:val="13"/>
        <w:snapToGrid w:val="0"/>
        <w:spacing w:line="400" w:lineRule="exact"/>
        <w:jc w:val="center"/>
        <w:rPr>
          <w:rFonts w:hAnsi="宋体" w:cs="宋体"/>
          <w:snapToGrid w:val="0"/>
          <w:sz w:val="32"/>
          <w:highlight w:val="none"/>
        </w:rPr>
      </w:pPr>
    </w:p>
    <w:p>
      <w:pPr>
        <w:pStyle w:val="13"/>
        <w:snapToGrid w:val="0"/>
        <w:spacing w:line="400" w:lineRule="exact"/>
        <w:rPr>
          <w:rFonts w:hAnsi="宋体" w:cs="宋体"/>
          <w:snapToGrid w:val="0"/>
          <w:sz w:val="32"/>
          <w:highlight w:val="none"/>
        </w:rPr>
      </w:pPr>
    </w:p>
    <w:p>
      <w:pPr>
        <w:pStyle w:val="13"/>
        <w:snapToGrid w:val="0"/>
        <w:spacing w:line="400" w:lineRule="exact"/>
        <w:rPr>
          <w:rFonts w:hAnsi="宋体" w:cs="宋体"/>
          <w:snapToGrid w:val="0"/>
          <w:sz w:val="32"/>
          <w:highlight w:val="none"/>
        </w:rPr>
      </w:pPr>
    </w:p>
    <w:p>
      <w:pPr>
        <w:pStyle w:val="13"/>
        <w:snapToGrid w:val="0"/>
        <w:spacing w:line="400" w:lineRule="exact"/>
        <w:rPr>
          <w:rFonts w:hAnsi="宋体" w:cs="宋体"/>
          <w:snapToGrid w:val="0"/>
          <w:sz w:val="32"/>
          <w:highlight w:val="none"/>
        </w:rPr>
      </w:pPr>
    </w:p>
    <w:p>
      <w:pPr>
        <w:pStyle w:val="13"/>
        <w:snapToGrid w:val="0"/>
        <w:spacing w:line="400" w:lineRule="exact"/>
        <w:rPr>
          <w:rFonts w:hAnsi="宋体" w:cs="宋体"/>
          <w:snapToGrid w:val="0"/>
          <w:sz w:val="32"/>
          <w:highlight w:val="none"/>
        </w:rPr>
      </w:pPr>
    </w:p>
    <w:p>
      <w:pPr>
        <w:pStyle w:val="13"/>
        <w:snapToGrid w:val="0"/>
        <w:spacing w:line="400" w:lineRule="exact"/>
        <w:rPr>
          <w:rFonts w:hAnsi="宋体" w:cs="宋体"/>
          <w:snapToGrid w:val="0"/>
          <w:sz w:val="32"/>
          <w:highlight w:val="none"/>
        </w:rPr>
      </w:pPr>
    </w:p>
    <w:p>
      <w:pPr>
        <w:pStyle w:val="13"/>
        <w:snapToGrid w:val="0"/>
        <w:spacing w:line="400" w:lineRule="exact"/>
        <w:jc w:val="center"/>
        <w:rPr>
          <w:rFonts w:hAnsi="宋体" w:cs="宋体"/>
          <w:snapToGrid w:val="0"/>
          <w:sz w:val="32"/>
          <w:highlight w:val="none"/>
        </w:rPr>
      </w:pPr>
    </w:p>
    <w:tbl>
      <w:tblPr>
        <w:tblStyle w:val="25"/>
        <w:tblW w:w="9099" w:type="dxa"/>
        <w:jc w:val="center"/>
        <w:tblLayout w:type="fixed"/>
        <w:tblCellMar>
          <w:top w:w="0" w:type="dxa"/>
          <w:left w:w="108" w:type="dxa"/>
          <w:bottom w:w="0" w:type="dxa"/>
          <w:right w:w="108" w:type="dxa"/>
        </w:tblCellMar>
      </w:tblPr>
      <w:tblGrid>
        <w:gridCol w:w="2127"/>
        <w:gridCol w:w="6972"/>
      </w:tblGrid>
      <w:tr>
        <w:tblPrEx>
          <w:tblCellMar>
            <w:top w:w="0" w:type="dxa"/>
            <w:left w:w="108" w:type="dxa"/>
            <w:bottom w:w="0" w:type="dxa"/>
            <w:right w:w="108" w:type="dxa"/>
          </w:tblCellMar>
        </w:tblPrEx>
        <w:trPr>
          <w:trHeight w:val="822" w:hRule="atLeast"/>
          <w:jc w:val="center"/>
        </w:trPr>
        <w:tc>
          <w:tcPr>
            <w:tcW w:w="2127" w:type="dxa"/>
            <w:vAlign w:val="center"/>
          </w:tcPr>
          <w:p>
            <w:pPr>
              <w:pStyle w:val="13"/>
              <w:snapToGrid w:val="0"/>
              <w:spacing w:line="400" w:lineRule="exact"/>
              <w:jc w:val="center"/>
              <w:rPr>
                <w:rFonts w:hAnsi="宋体" w:cs="宋体"/>
                <w:snapToGrid w:val="0"/>
                <w:sz w:val="32"/>
                <w:highlight w:val="none"/>
              </w:rPr>
            </w:pPr>
            <w:r>
              <w:rPr>
                <w:rFonts w:hint="eastAsia" w:hAnsi="宋体" w:cs="宋体"/>
                <w:snapToGrid w:val="0"/>
                <w:sz w:val="32"/>
                <w:highlight w:val="none"/>
              </w:rPr>
              <w:t>招 标 人：</w:t>
            </w:r>
          </w:p>
        </w:tc>
        <w:tc>
          <w:tcPr>
            <w:tcW w:w="6972" w:type="dxa"/>
            <w:vAlign w:val="center"/>
          </w:tcPr>
          <w:p>
            <w:pPr>
              <w:pStyle w:val="13"/>
              <w:snapToGrid w:val="0"/>
              <w:spacing w:line="400" w:lineRule="exact"/>
              <w:jc w:val="left"/>
              <w:rPr>
                <w:rFonts w:hAnsi="宋体" w:cs="宋体"/>
                <w:snapToGrid w:val="0"/>
                <w:sz w:val="32"/>
                <w:highlight w:val="none"/>
              </w:rPr>
            </w:pPr>
            <w:r>
              <w:rPr>
                <w:rFonts w:hint="eastAsia" w:hAnsi="宋体" w:cs="宋体"/>
                <w:snapToGrid w:val="0"/>
                <w:sz w:val="32"/>
                <w:highlight w:val="none"/>
                <w:u w:val="single"/>
              </w:rPr>
              <w:t xml:space="preserve">杭州临江环境能源有限公司 </w:t>
            </w:r>
            <w:r>
              <w:rPr>
                <w:rFonts w:hint="eastAsia" w:hAnsi="宋体" w:cs="宋体"/>
                <w:snapToGrid w:val="0"/>
                <w:sz w:val="32"/>
                <w:highlight w:val="none"/>
              </w:rPr>
              <w:t>（盖单位公章）</w:t>
            </w:r>
          </w:p>
        </w:tc>
      </w:tr>
      <w:tr>
        <w:tblPrEx>
          <w:tblCellMar>
            <w:top w:w="0" w:type="dxa"/>
            <w:left w:w="108" w:type="dxa"/>
            <w:bottom w:w="0" w:type="dxa"/>
            <w:right w:w="108" w:type="dxa"/>
          </w:tblCellMar>
        </w:tblPrEx>
        <w:trPr>
          <w:trHeight w:val="694" w:hRule="atLeast"/>
          <w:jc w:val="center"/>
        </w:trPr>
        <w:tc>
          <w:tcPr>
            <w:tcW w:w="2127" w:type="dxa"/>
            <w:vAlign w:val="center"/>
          </w:tcPr>
          <w:p>
            <w:pPr>
              <w:pStyle w:val="13"/>
              <w:snapToGrid w:val="0"/>
              <w:spacing w:line="400" w:lineRule="exact"/>
              <w:jc w:val="center"/>
              <w:rPr>
                <w:rFonts w:hAnsi="宋体" w:cs="宋体"/>
                <w:snapToGrid w:val="0"/>
                <w:sz w:val="32"/>
                <w:highlight w:val="none"/>
              </w:rPr>
            </w:pPr>
            <w:r>
              <w:rPr>
                <w:rFonts w:hint="eastAsia" w:hAnsi="宋体" w:cs="宋体"/>
                <w:snapToGrid w:val="0"/>
                <w:sz w:val="32"/>
                <w:highlight w:val="none"/>
              </w:rPr>
              <w:t>招标代理：</w:t>
            </w:r>
          </w:p>
        </w:tc>
        <w:tc>
          <w:tcPr>
            <w:tcW w:w="6972" w:type="dxa"/>
            <w:vAlign w:val="center"/>
          </w:tcPr>
          <w:p>
            <w:pPr>
              <w:pStyle w:val="13"/>
              <w:snapToGrid w:val="0"/>
              <w:spacing w:line="400" w:lineRule="exact"/>
              <w:jc w:val="left"/>
              <w:rPr>
                <w:rFonts w:hAnsi="宋体" w:cs="宋体"/>
                <w:snapToGrid w:val="0"/>
                <w:sz w:val="32"/>
                <w:highlight w:val="none"/>
              </w:rPr>
            </w:pPr>
            <w:r>
              <w:rPr>
                <w:rFonts w:hint="eastAsia" w:hAnsi="宋体" w:cs="宋体"/>
                <w:snapToGrid w:val="0"/>
                <w:sz w:val="32"/>
                <w:highlight w:val="none"/>
                <w:u w:val="single"/>
              </w:rPr>
              <w:t>杭州建设工程造价咨询有限公司</w:t>
            </w:r>
            <w:r>
              <w:rPr>
                <w:rFonts w:hint="eastAsia" w:hAnsi="宋体" w:cs="宋体"/>
                <w:snapToGrid w:val="0"/>
                <w:sz w:val="32"/>
                <w:highlight w:val="none"/>
              </w:rPr>
              <w:t>（盖单位公章）</w:t>
            </w:r>
          </w:p>
        </w:tc>
      </w:tr>
      <w:tr>
        <w:tblPrEx>
          <w:tblCellMar>
            <w:top w:w="0" w:type="dxa"/>
            <w:left w:w="108" w:type="dxa"/>
            <w:bottom w:w="0" w:type="dxa"/>
            <w:right w:w="108" w:type="dxa"/>
          </w:tblCellMar>
        </w:tblPrEx>
        <w:trPr>
          <w:trHeight w:val="562" w:hRule="atLeast"/>
          <w:jc w:val="center"/>
        </w:trPr>
        <w:tc>
          <w:tcPr>
            <w:tcW w:w="9099" w:type="dxa"/>
            <w:gridSpan w:val="2"/>
            <w:vAlign w:val="center"/>
          </w:tcPr>
          <w:p>
            <w:pPr>
              <w:pStyle w:val="13"/>
              <w:snapToGrid w:val="0"/>
              <w:spacing w:line="400" w:lineRule="exact"/>
              <w:jc w:val="center"/>
              <w:rPr>
                <w:rFonts w:hAnsi="宋体" w:cs="宋体"/>
                <w:snapToGrid w:val="0"/>
                <w:sz w:val="32"/>
                <w:highlight w:val="none"/>
              </w:rPr>
            </w:pPr>
            <w:r>
              <w:rPr>
                <w:rFonts w:hint="eastAsia" w:hAnsi="宋体" w:cs="宋体"/>
                <w:snapToGrid w:val="0"/>
                <w:sz w:val="32"/>
                <w:highlight w:val="none"/>
              </w:rPr>
              <w:t>日期：2024年10月</w:t>
            </w:r>
            <w:r>
              <w:rPr>
                <w:rFonts w:hint="eastAsia" w:hAnsi="宋体" w:cs="宋体"/>
                <w:snapToGrid w:val="0"/>
                <w:sz w:val="32"/>
                <w:highlight w:val="none"/>
                <w:lang w:val="en-US" w:eastAsia="zh-CN"/>
              </w:rPr>
              <w:t xml:space="preserve"> 30</w:t>
            </w:r>
            <w:r>
              <w:rPr>
                <w:rFonts w:hint="eastAsia" w:hAnsi="宋体" w:cs="宋体"/>
                <w:snapToGrid w:val="0"/>
                <w:sz w:val="32"/>
                <w:highlight w:val="none"/>
              </w:rPr>
              <w:t>日</w:t>
            </w:r>
          </w:p>
        </w:tc>
      </w:tr>
    </w:tbl>
    <w:p>
      <w:pPr>
        <w:spacing w:line="400" w:lineRule="exact"/>
        <w:rPr>
          <w:rFonts w:ascii="宋体" w:hAnsi="宋体" w:eastAsia="宋体" w:cs="宋体"/>
          <w:b/>
          <w:bCs/>
          <w:sz w:val="44"/>
          <w:szCs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p>
    <w:p>
      <w:pPr>
        <w:spacing w:line="400" w:lineRule="exact"/>
        <w:jc w:val="center"/>
        <w:rPr>
          <w:rFonts w:ascii="宋体" w:hAnsi="宋体" w:eastAsia="宋体" w:cs="宋体"/>
          <w:sz w:val="44"/>
          <w:highlight w:val="none"/>
        </w:rPr>
      </w:pPr>
      <w:r>
        <w:rPr>
          <w:rFonts w:hint="eastAsia" w:ascii="宋体" w:hAnsi="宋体" w:eastAsia="宋体" w:cs="宋体"/>
          <w:sz w:val="44"/>
          <w:highlight w:val="none"/>
        </w:rPr>
        <w:t>目  录</w:t>
      </w:r>
    </w:p>
    <w:p>
      <w:pPr>
        <w:spacing w:line="400" w:lineRule="exact"/>
        <w:rPr>
          <w:rFonts w:ascii="宋体" w:hAnsi="宋体" w:eastAsia="宋体" w:cs="宋体"/>
          <w:highlight w:val="none"/>
        </w:rPr>
      </w:pPr>
    </w:p>
    <w:p>
      <w:pPr>
        <w:pStyle w:val="2"/>
        <w:tabs>
          <w:tab w:val="right" w:leader="dot" w:pos="9061"/>
        </w:tabs>
        <w:spacing w:line="400" w:lineRule="exact"/>
        <w:rPr>
          <w:rFonts w:ascii="宋体" w:hAnsi="宋体" w:cs="宋体"/>
          <w:sz w:val="24"/>
          <w:highlight w:val="none"/>
        </w:rPr>
      </w:pPr>
      <w:r>
        <w:rPr>
          <w:rFonts w:hint="eastAsia" w:ascii="宋体" w:hAnsi="宋体" w:cs="宋体"/>
          <w:sz w:val="24"/>
          <w:highlight w:val="none"/>
        </w:rPr>
        <w:fldChar w:fldCharType="begin"/>
      </w:r>
      <w:r>
        <w:rPr>
          <w:rFonts w:hint="eastAsia" w:ascii="宋体" w:hAnsi="宋体" w:cs="宋体"/>
          <w:sz w:val="24"/>
          <w:highlight w:val="none"/>
        </w:rPr>
        <w:instrText xml:space="preserve">TOC \o "1-2" \h \u </w:instrText>
      </w:r>
      <w:r>
        <w:rPr>
          <w:rFonts w:hint="eastAsia" w:ascii="宋体" w:hAnsi="宋体" w:cs="宋体"/>
          <w:sz w:val="24"/>
          <w:highlight w:val="none"/>
        </w:rPr>
        <w:fldChar w:fldCharType="separate"/>
      </w:r>
      <w:r>
        <w:rPr>
          <w:highlight w:val="none"/>
        </w:rPr>
        <w:fldChar w:fldCharType="begin"/>
      </w:r>
      <w:r>
        <w:rPr>
          <w:highlight w:val="none"/>
        </w:rPr>
        <w:instrText xml:space="preserve"> HYPERLINK \l "_Toc83886013" </w:instrText>
      </w:r>
      <w:r>
        <w:rPr>
          <w:highlight w:val="none"/>
        </w:rPr>
        <w:fldChar w:fldCharType="separate"/>
      </w:r>
      <w:r>
        <w:rPr>
          <w:rStyle w:val="30"/>
          <w:rFonts w:hint="eastAsia" w:ascii="宋体" w:hAnsi="宋体" w:cs="宋体"/>
          <w:color w:val="auto"/>
          <w:sz w:val="24"/>
          <w:highlight w:val="none"/>
        </w:rPr>
        <w:t>第一章  招标公告</w:t>
      </w:r>
      <w:r>
        <w:rPr>
          <w:rFonts w:hint="eastAsia" w:ascii="宋体" w:hAnsi="宋体" w:cs="宋体"/>
          <w:sz w:val="24"/>
          <w:highlight w:val="none"/>
        </w:rPr>
        <w:tab/>
      </w:r>
      <w:r>
        <w:rPr>
          <w:rFonts w:hint="eastAsia" w:ascii="宋体" w:hAnsi="宋体" w:cs="宋体"/>
          <w:sz w:val="24"/>
          <w:highlight w:val="none"/>
        </w:rPr>
        <w:fldChar w:fldCharType="end"/>
      </w:r>
      <w:r>
        <w:rPr>
          <w:rFonts w:hint="eastAsia" w:ascii="宋体" w:hAnsi="宋体" w:cs="宋体"/>
          <w:sz w:val="24"/>
          <w:highlight w:val="none"/>
        </w:rPr>
        <w:t>2</w:t>
      </w:r>
    </w:p>
    <w:p>
      <w:pPr>
        <w:pStyle w:val="18"/>
        <w:tabs>
          <w:tab w:val="right" w:leader="dot" w:pos="9061"/>
        </w:tabs>
        <w:spacing w:line="400" w:lineRule="exact"/>
        <w:ind w:left="0" w:leftChars="0"/>
        <w:rPr>
          <w:rStyle w:val="30"/>
          <w:rFonts w:ascii="宋体" w:hAnsi="宋体" w:cs="宋体"/>
          <w:color w:val="auto"/>
          <w:sz w:val="24"/>
          <w:highlight w:val="none"/>
        </w:rPr>
      </w:pPr>
      <w:r>
        <w:rPr>
          <w:rStyle w:val="30"/>
          <w:rFonts w:hint="eastAsia" w:ascii="宋体" w:hAnsi="宋体" w:cs="宋体"/>
          <w:color w:val="auto"/>
          <w:sz w:val="24"/>
          <w:highlight w:val="none"/>
        </w:rPr>
        <w:t xml:space="preserve">第二章  </w:t>
      </w:r>
      <w:r>
        <w:rPr>
          <w:highlight w:val="none"/>
        </w:rPr>
        <w:fldChar w:fldCharType="begin"/>
      </w:r>
      <w:r>
        <w:rPr>
          <w:highlight w:val="none"/>
        </w:rPr>
        <w:instrText xml:space="preserve"> HYPERLINK \l "_Toc83886014" </w:instrText>
      </w:r>
      <w:r>
        <w:rPr>
          <w:highlight w:val="none"/>
        </w:rPr>
        <w:fldChar w:fldCharType="separate"/>
      </w:r>
      <w:r>
        <w:rPr>
          <w:rStyle w:val="30"/>
          <w:rFonts w:hint="eastAsia" w:ascii="宋体" w:hAnsi="宋体" w:cs="宋体"/>
          <w:color w:val="auto"/>
          <w:kern w:val="0"/>
          <w:sz w:val="24"/>
          <w:highlight w:val="none"/>
        </w:rPr>
        <w:t>投标人须知（含前附表）</w:t>
      </w:r>
      <w:r>
        <w:rPr>
          <w:rFonts w:hint="eastAsia" w:ascii="宋体" w:hAnsi="宋体" w:cs="宋体"/>
          <w:sz w:val="24"/>
          <w:highlight w:val="none"/>
        </w:rPr>
        <w:tab/>
      </w:r>
      <w:r>
        <w:rPr>
          <w:rFonts w:hint="eastAsia" w:ascii="宋体" w:hAnsi="宋体" w:cs="宋体"/>
          <w:sz w:val="24"/>
          <w:highlight w:val="none"/>
        </w:rPr>
        <w:fldChar w:fldCharType="end"/>
      </w:r>
      <w:r>
        <w:rPr>
          <w:rFonts w:hint="eastAsia" w:ascii="宋体" w:hAnsi="宋体" w:cs="宋体"/>
          <w:sz w:val="24"/>
          <w:highlight w:val="none"/>
        </w:rPr>
        <w:t>5</w:t>
      </w:r>
    </w:p>
    <w:p>
      <w:pPr>
        <w:pStyle w:val="2"/>
        <w:tabs>
          <w:tab w:val="right" w:leader="dot" w:pos="9061"/>
        </w:tabs>
        <w:spacing w:line="400" w:lineRule="exact"/>
        <w:rPr>
          <w:rFonts w:ascii="宋体" w:hAnsi="宋体" w:cs="宋体"/>
          <w:sz w:val="24"/>
          <w:highlight w:val="none"/>
        </w:rPr>
      </w:pPr>
      <w:r>
        <w:rPr>
          <w:highlight w:val="none"/>
        </w:rPr>
        <w:fldChar w:fldCharType="begin"/>
      </w:r>
      <w:r>
        <w:rPr>
          <w:highlight w:val="none"/>
        </w:rPr>
        <w:instrText xml:space="preserve"> HYPERLINK \l "_Toc83886026" </w:instrText>
      </w:r>
      <w:r>
        <w:rPr>
          <w:highlight w:val="none"/>
        </w:rPr>
        <w:fldChar w:fldCharType="separate"/>
      </w:r>
      <w:r>
        <w:rPr>
          <w:rStyle w:val="30"/>
          <w:rFonts w:hint="eastAsia" w:ascii="宋体" w:hAnsi="宋体" w:cs="宋体"/>
          <w:color w:val="auto"/>
          <w:sz w:val="24"/>
          <w:highlight w:val="none"/>
        </w:rPr>
        <w:t>第三章  用户需求和技术要求</w:t>
      </w:r>
      <w:r>
        <w:rPr>
          <w:rFonts w:hint="eastAsia" w:ascii="宋体" w:hAnsi="宋体" w:cs="宋体"/>
          <w:sz w:val="24"/>
          <w:highlight w:val="none"/>
        </w:rPr>
        <w:tab/>
      </w:r>
      <w:r>
        <w:rPr>
          <w:rFonts w:hint="eastAsia" w:ascii="宋体" w:hAnsi="宋体" w:cs="宋体"/>
          <w:sz w:val="24"/>
          <w:highlight w:val="none"/>
        </w:rPr>
        <w:fldChar w:fldCharType="end"/>
      </w:r>
      <w:r>
        <w:rPr>
          <w:rFonts w:hint="eastAsia" w:ascii="宋体" w:hAnsi="宋体" w:cs="宋体"/>
          <w:sz w:val="24"/>
          <w:highlight w:val="none"/>
        </w:rPr>
        <w:t>25</w:t>
      </w:r>
    </w:p>
    <w:p>
      <w:pPr>
        <w:pStyle w:val="2"/>
        <w:tabs>
          <w:tab w:val="right" w:leader="dot" w:pos="9061"/>
        </w:tabs>
        <w:spacing w:line="400" w:lineRule="exact"/>
        <w:rPr>
          <w:rFonts w:ascii="宋体" w:hAnsi="宋体" w:cs="宋体"/>
          <w:sz w:val="24"/>
          <w:highlight w:val="none"/>
        </w:rPr>
      </w:pPr>
      <w:r>
        <w:rPr>
          <w:highlight w:val="none"/>
        </w:rPr>
        <w:fldChar w:fldCharType="begin"/>
      </w:r>
      <w:r>
        <w:rPr>
          <w:highlight w:val="none"/>
        </w:rPr>
        <w:instrText xml:space="preserve"> HYPERLINK \l "_Toc83886029" </w:instrText>
      </w:r>
      <w:r>
        <w:rPr>
          <w:highlight w:val="none"/>
        </w:rPr>
        <w:fldChar w:fldCharType="separate"/>
      </w:r>
      <w:r>
        <w:rPr>
          <w:rStyle w:val="30"/>
          <w:rFonts w:hint="eastAsia" w:ascii="宋体" w:hAnsi="宋体" w:cs="宋体"/>
          <w:color w:val="auto"/>
          <w:sz w:val="24"/>
          <w:highlight w:val="none"/>
        </w:rPr>
        <w:t>第四章  评标方法及</w:t>
      </w:r>
      <w:bookmarkStart w:id="1" w:name="_Hlt98859654"/>
      <w:r>
        <w:rPr>
          <w:rStyle w:val="30"/>
          <w:rFonts w:hint="eastAsia" w:ascii="宋体" w:hAnsi="宋体" w:cs="宋体"/>
          <w:color w:val="auto"/>
          <w:sz w:val="24"/>
          <w:highlight w:val="none"/>
        </w:rPr>
        <w:t>评</w:t>
      </w:r>
      <w:bookmarkEnd w:id="1"/>
      <w:r>
        <w:rPr>
          <w:rStyle w:val="30"/>
          <w:rFonts w:hint="eastAsia" w:ascii="宋体" w:hAnsi="宋体" w:cs="宋体"/>
          <w:color w:val="auto"/>
          <w:sz w:val="24"/>
          <w:highlight w:val="none"/>
        </w:rPr>
        <w:t>价标准</w:t>
      </w:r>
      <w:r>
        <w:rPr>
          <w:rFonts w:hint="eastAsia" w:ascii="宋体" w:hAnsi="宋体" w:cs="宋体"/>
          <w:sz w:val="24"/>
          <w:highlight w:val="none"/>
        </w:rPr>
        <w:tab/>
      </w:r>
      <w:r>
        <w:rPr>
          <w:rFonts w:hint="eastAsia" w:ascii="宋体" w:hAnsi="宋体" w:cs="宋体"/>
          <w:sz w:val="24"/>
          <w:highlight w:val="none"/>
        </w:rPr>
        <w:fldChar w:fldCharType="end"/>
      </w:r>
      <w:r>
        <w:rPr>
          <w:rFonts w:hint="eastAsia" w:ascii="宋体" w:hAnsi="宋体" w:cs="宋体"/>
          <w:sz w:val="24"/>
          <w:highlight w:val="none"/>
        </w:rPr>
        <w:t>33</w:t>
      </w:r>
    </w:p>
    <w:p>
      <w:pPr>
        <w:pStyle w:val="2"/>
        <w:tabs>
          <w:tab w:val="right" w:leader="dot" w:pos="9061"/>
        </w:tabs>
        <w:spacing w:line="400" w:lineRule="exact"/>
        <w:rPr>
          <w:rFonts w:ascii="宋体" w:hAnsi="宋体" w:cs="宋体"/>
          <w:sz w:val="24"/>
          <w:highlight w:val="none"/>
        </w:rPr>
      </w:pPr>
      <w:r>
        <w:rPr>
          <w:highlight w:val="none"/>
        </w:rPr>
        <w:fldChar w:fldCharType="begin"/>
      </w:r>
      <w:r>
        <w:rPr>
          <w:highlight w:val="none"/>
        </w:rPr>
        <w:instrText xml:space="preserve"> HYPERLINK \l "_Toc83886039" </w:instrText>
      </w:r>
      <w:r>
        <w:rPr>
          <w:highlight w:val="none"/>
        </w:rPr>
        <w:fldChar w:fldCharType="separate"/>
      </w:r>
      <w:r>
        <w:rPr>
          <w:rStyle w:val="30"/>
          <w:rFonts w:hint="eastAsia" w:ascii="宋体" w:hAnsi="宋体" w:cs="宋体"/>
          <w:color w:val="auto"/>
          <w:sz w:val="24"/>
          <w:highlight w:val="none"/>
        </w:rPr>
        <w:t>第五章  投标文件格式</w:t>
      </w:r>
      <w:r>
        <w:rPr>
          <w:rFonts w:hint="eastAsia" w:ascii="宋体" w:hAnsi="宋体" w:cs="宋体"/>
          <w:sz w:val="24"/>
          <w:highlight w:val="none"/>
        </w:rPr>
        <w:tab/>
      </w:r>
      <w:r>
        <w:rPr>
          <w:rFonts w:hint="eastAsia" w:ascii="宋体" w:hAnsi="宋体" w:cs="宋体"/>
          <w:sz w:val="24"/>
          <w:highlight w:val="none"/>
        </w:rPr>
        <w:fldChar w:fldCharType="end"/>
      </w:r>
      <w:r>
        <w:rPr>
          <w:rFonts w:hint="eastAsia" w:ascii="宋体" w:hAnsi="宋体" w:cs="宋体"/>
          <w:sz w:val="24"/>
          <w:highlight w:val="none"/>
        </w:rPr>
        <w:t>37</w:t>
      </w:r>
    </w:p>
    <w:p>
      <w:pPr>
        <w:pStyle w:val="2"/>
        <w:tabs>
          <w:tab w:val="right" w:leader="dot" w:pos="9061"/>
        </w:tabs>
        <w:spacing w:line="400" w:lineRule="exact"/>
        <w:rPr>
          <w:rFonts w:ascii="宋体" w:hAnsi="宋体" w:cs="宋体"/>
          <w:sz w:val="24"/>
          <w:highlight w:val="none"/>
        </w:rPr>
      </w:pPr>
      <w:r>
        <w:rPr>
          <w:highlight w:val="none"/>
        </w:rPr>
        <w:fldChar w:fldCharType="begin"/>
      </w:r>
      <w:r>
        <w:rPr>
          <w:highlight w:val="none"/>
        </w:rPr>
        <w:instrText xml:space="preserve"> HYPERLINK \l "_Toc83886047" </w:instrText>
      </w:r>
      <w:r>
        <w:rPr>
          <w:highlight w:val="none"/>
        </w:rPr>
        <w:fldChar w:fldCharType="separate"/>
      </w:r>
      <w:r>
        <w:rPr>
          <w:rStyle w:val="30"/>
          <w:rFonts w:hint="eastAsia" w:ascii="宋体" w:hAnsi="宋体" w:cs="宋体"/>
          <w:color w:val="auto"/>
          <w:sz w:val="24"/>
          <w:highlight w:val="none"/>
        </w:rPr>
        <w:t>第六章  合同条款及格式</w:t>
      </w:r>
      <w:r>
        <w:rPr>
          <w:rFonts w:hint="eastAsia" w:ascii="宋体" w:hAnsi="宋体" w:cs="宋体"/>
          <w:sz w:val="24"/>
          <w:highlight w:val="none"/>
        </w:rPr>
        <w:tab/>
      </w:r>
      <w:r>
        <w:rPr>
          <w:rFonts w:hint="eastAsia" w:ascii="宋体" w:hAnsi="宋体" w:cs="宋体"/>
          <w:sz w:val="24"/>
          <w:highlight w:val="none"/>
        </w:rPr>
        <w:fldChar w:fldCharType="end"/>
      </w:r>
      <w:r>
        <w:rPr>
          <w:rFonts w:hint="eastAsia" w:ascii="宋体" w:hAnsi="宋体" w:cs="宋体"/>
          <w:sz w:val="24"/>
          <w:highlight w:val="none"/>
        </w:rPr>
        <w:t>73</w:t>
      </w:r>
    </w:p>
    <w:p>
      <w:pPr>
        <w:widowControl/>
        <w:spacing w:line="400" w:lineRule="exact"/>
        <w:jc w:val="center"/>
        <w:rPr>
          <w:rFonts w:ascii="宋体" w:hAnsi="宋体" w:eastAsia="宋体" w:cs="宋体"/>
          <w:sz w:val="24"/>
          <w:highlight w:val="none"/>
        </w:rPr>
        <w:sectPr>
          <w:headerReference r:id="rId5" w:type="first"/>
          <w:headerReference r:id="rId3" w:type="default"/>
          <w:footerReference r:id="rId6" w:type="default"/>
          <w:headerReference r:id="rId4" w:type="even"/>
          <w:footerReference r:id="rId7" w:type="even"/>
          <w:pgSz w:w="11906" w:h="16838"/>
          <w:pgMar w:top="1440" w:right="1080" w:bottom="1440" w:left="1080" w:header="0" w:footer="714" w:gutter="0"/>
          <w:pgNumType w:start="1"/>
          <w:cols w:space="720" w:num="1"/>
          <w:docGrid w:linePitch="286" w:charSpace="0"/>
        </w:sectPr>
      </w:pPr>
      <w:r>
        <w:rPr>
          <w:rFonts w:hint="eastAsia" w:ascii="宋体" w:hAnsi="宋体" w:eastAsia="宋体" w:cs="宋体"/>
          <w:sz w:val="24"/>
          <w:highlight w:val="none"/>
        </w:rPr>
        <w:fldChar w:fldCharType="end"/>
      </w:r>
    </w:p>
    <w:p>
      <w:pPr>
        <w:widowControl/>
        <w:spacing w:line="400" w:lineRule="exact"/>
        <w:jc w:val="center"/>
        <w:rPr>
          <w:rFonts w:ascii="宋体" w:hAnsi="宋体" w:eastAsia="宋体" w:cs="宋体"/>
          <w:b/>
          <w:bCs/>
          <w:kern w:val="0"/>
          <w:szCs w:val="32"/>
          <w:highlight w:val="none"/>
        </w:rPr>
      </w:pPr>
      <w:r>
        <w:rPr>
          <w:rFonts w:hint="eastAsia" w:ascii="宋体" w:hAnsi="宋体" w:eastAsia="宋体" w:cs="宋体"/>
          <w:b/>
          <w:bCs/>
          <w:kern w:val="0"/>
          <w:szCs w:val="32"/>
          <w:highlight w:val="none"/>
        </w:rPr>
        <w:t>第一章 招标公告</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招标人</w:t>
      </w:r>
      <w:r>
        <w:rPr>
          <w:rFonts w:hint="eastAsia" w:ascii="宋体" w:hAnsi="宋体" w:eastAsia="宋体" w:cs="宋体"/>
          <w:sz w:val="24"/>
          <w:highlight w:val="none"/>
          <w:u w:val="single"/>
        </w:rPr>
        <w:t>杭州临江环境能源有限公司</w:t>
      </w:r>
      <w:r>
        <w:rPr>
          <w:rFonts w:hint="eastAsia" w:ascii="宋体" w:hAnsi="宋体" w:eastAsia="宋体" w:cs="宋体"/>
          <w:sz w:val="24"/>
          <w:highlight w:val="none"/>
        </w:rPr>
        <w:t>委托</w:t>
      </w:r>
      <w:r>
        <w:rPr>
          <w:rFonts w:hint="eastAsia" w:ascii="宋体" w:hAnsi="宋体" w:eastAsia="宋体" w:cs="宋体"/>
          <w:sz w:val="24"/>
          <w:highlight w:val="none"/>
          <w:u w:val="single"/>
        </w:rPr>
        <w:t>杭州建设工程造价咨询有限公司</w:t>
      </w:r>
      <w:r>
        <w:rPr>
          <w:rFonts w:hint="eastAsia" w:ascii="宋体" w:hAnsi="宋体" w:eastAsia="宋体" w:cs="宋体"/>
          <w:sz w:val="24"/>
          <w:highlight w:val="none"/>
        </w:rPr>
        <w:t>招标代理机构，对</w:t>
      </w:r>
      <w:r>
        <w:rPr>
          <w:rFonts w:hint="eastAsia" w:ascii="宋体" w:hAnsi="宋体" w:eastAsia="宋体" w:cs="宋体"/>
          <w:sz w:val="24"/>
          <w:highlight w:val="none"/>
          <w:u w:val="single"/>
          <w:lang w:val="zh-CN"/>
        </w:rPr>
        <w:t>2024-2026年度起重设备及抓斗维保采购项目</w:t>
      </w:r>
      <w:r>
        <w:rPr>
          <w:rFonts w:hint="eastAsia" w:ascii="宋体" w:hAnsi="宋体" w:eastAsia="宋体" w:cs="宋体"/>
          <w:sz w:val="24"/>
          <w:highlight w:val="none"/>
        </w:rPr>
        <w:t>名称进行公开招标，欢迎对本项目有兴趣并符合投标人资格条件的投标人参加投标。</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1、招标编号：</w:t>
      </w:r>
      <w:r>
        <w:rPr>
          <w:rFonts w:hint="eastAsia" w:ascii="宋体" w:hAnsi="宋体" w:eastAsia="宋体" w:cs="宋体"/>
          <w:bCs/>
          <w:sz w:val="24"/>
          <w:highlight w:val="none"/>
          <w:u w:val="single"/>
        </w:rPr>
        <w:t>NY-1FZB2410089</w:t>
      </w:r>
      <w:r>
        <w:rPr>
          <w:rFonts w:hint="eastAsia" w:ascii="宋体" w:hAnsi="宋体" w:eastAsia="宋体" w:cs="宋体"/>
          <w:bCs/>
          <w:sz w:val="24"/>
          <w:highlight w:val="none"/>
        </w:rPr>
        <w:t>。</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2、项目名称：</w:t>
      </w:r>
      <w:r>
        <w:rPr>
          <w:rFonts w:hint="eastAsia" w:ascii="宋体" w:hAnsi="宋体" w:eastAsia="宋体" w:cs="宋体"/>
          <w:sz w:val="24"/>
          <w:highlight w:val="none"/>
          <w:u w:val="single"/>
          <w:lang w:val="zh-CN"/>
        </w:rPr>
        <w:t>2024-2026年度起重设备及抓斗维保采购项目</w:t>
      </w:r>
      <w:r>
        <w:rPr>
          <w:rFonts w:hint="eastAsia" w:ascii="宋体" w:hAnsi="宋体" w:eastAsia="宋体" w:cs="宋体"/>
          <w:bCs/>
          <w:sz w:val="24"/>
          <w:highlight w:val="none"/>
        </w:rPr>
        <w:t>。</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3、项目地点：</w:t>
      </w:r>
      <w:r>
        <w:rPr>
          <w:rFonts w:hint="eastAsia" w:ascii="宋体" w:hAnsi="宋体" w:eastAsia="宋体" w:cs="宋体"/>
          <w:sz w:val="24"/>
          <w:highlight w:val="none"/>
          <w:u w:val="single"/>
          <w:lang w:val="zh-CN"/>
        </w:rPr>
        <w:t>杭州市钱塘区临江街道临江循环经济产业园内</w:t>
      </w:r>
      <w:r>
        <w:rPr>
          <w:rFonts w:hint="eastAsia" w:ascii="宋体" w:hAnsi="宋体" w:eastAsia="宋体" w:cs="宋体"/>
          <w:bCs/>
          <w:sz w:val="24"/>
          <w:highlight w:val="none"/>
        </w:rPr>
        <w:t>。</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4、项目最高限价：</w:t>
      </w:r>
      <w:r>
        <w:rPr>
          <w:rFonts w:hint="eastAsia" w:ascii="宋体" w:hAnsi="宋体" w:eastAsia="宋体" w:cs="宋体"/>
          <w:sz w:val="24"/>
          <w:highlight w:val="none"/>
          <w:u w:val="single"/>
        </w:rPr>
        <w:t>277</w:t>
      </w:r>
      <w:r>
        <w:rPr>
          <w:rFonts w:hint="eastAsia" w:ascii="宋体" w:hAnsi="宋体" w:eastAsia="宋体" w:cs="宋体"/>
          <w:sz w:val="24"/>
          <w:highlight w:val="none"/>
          <w:u w:val="single"/>
          <w:lang w:val="zh-CN"/>
        </w:rPr>
        <w:t>万元</w:t>
      </w:r>
      <w:r>
        <w:rPr>
          <w:rFonts w:hint="eastAsia" w:ascii="宋体" w:hAnsi="宋体" w:eastAsia="宋体" w:cs="宋体"/>
          <w:b/>
          <w:sz w:val="24"/>
          <w:highlight w:val="none"/>
        </w:rPr>
        <w:t>（含税），超过最高限价的按无效标书处理。</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5、招标人：</w:t>
      </w:r>
      <w:r>
        <w:rPr>
          <w:rFonts w:hint="eastAsia" w:ascii="宋体" w:hAnsi="宋体" w:eastAsia="宋体" w:cs="宋体"/>
          <w:bCs/>
          <w:sz w:val="24"/>
          <w:highlight w:val="none"/>
          <w:u w:val="single"/>
        </w:rPr>
        <w:t>杭州临江环境能源有限公司</w:t>
      </w:r>
      <w:r>
        <w:rPr>
          <w:rFonts w:hint="eastAsia" w:ascii="宋体" w:hAnsi="宋体" w:eastAsia="宋体" w:cs="宋体"/>
          <w:bCs/>
          <w:sz w:val="24"/>
          <w:highlight w:val="none"/>
        </w:rPr>
        <w:t>。</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6、采购</w:t>
      </w:r>
      <w:r>
        <w:rPr>
          <w:rFonts w:hint="eastAsia" w:ascii="宋体" w:hAnsi="宋体" w:eastAsia="宋体" w:cs="宋体"/>
          <w:b/>
          <w:sz w:val="24"/>
          <w:highlight w:val="none"/>
          <w:lang w:val="zh-CN"/>
        </w:rPr>
        <w:t>人：</w:t>
      </w:r>
      <w:r>
        <w:rPr>
          <w:rFonts w:hint="eastAsia" w:ascii="宋体" w:hAnsi="宋体" w:eastAsia="宋体" w:cs="宋体"/>
          <w:bCs/>
          <w:sz w:val="24"/>
          <w:highlight w:val="none"/>
          <w:u w:val="single"/>
        </w:rPr>
        <w:t>杭州临江环境能源有限公司</w:t>
      </w:r>
      <w:r>
        <w:rPr>
          <w:rFonts w:hint="eastAsia" w:ascii="宋体" w:hAnsi="宋体" w:eastAsia="宋体" w:cs="宋体"/>
          <w:bCs/>
          <w:sz w:val="24"/>
          <w:highlight w:val="none"/>
        </w:rPr>
        <w:t>。</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7、招标范围及内容：</w:t>
      </w:r>
    </w:p>
    <w:p>
      <w:pPr>
        <w:pStyle w:val="21"/>
        <w:adjustRightInd w:val="0"/>
        <w:snapToGrid w:val="0"/>
        <w:spacing w:before="0" w:beforeAutospacing="0" w:after="0" w:afterAutospacing="0" w:line="400" w:lineRule="exact"/>
        <w:ind w:firstLine="480" w:firstLineChars="200"/>
        <w:rPr>
          <w:rFonts w:cs="宋体"/>
          <w:bCs/>
          <w:kern w:val="2"/>
          <w:highlight w:val="none"/>
          <w:u w:val="single"/>
        </w:rPr>
      </w:pPr>
      <w:r>
        <w:rPr>
          <w:rFonts w:hint="eastAsia" w:cs="宋体"/>
          <w:bCs/>
          <w:kern w:val="2"/>
          <w:highlight w:val="none"/>
          <w:u w:val="single"/>
        </w:rPr>
        <w:t>（1）招标标的：</w:t>
      </w:r>
      <w:bookmarkStart w:id="2" w:name="OLE_LINK7"/>
      <w:r>
        <w:rPr>
          <w:rFonts w:hint="eastAsia" w:cs="宋体"/>
          <w:bCs/>
          <w:kern w:val="2"/>
          <w:highlight w:val="none"/>
          <w:u w:val="single"/>
        </w:rPr>
        <w:t>采购</w:t>
      </w:r>
      <w:r>
        <w:rPr>
          <w:rFonts w:hint="eastAsia" w:cs="宋体"/>
          <w:spacing w:val="2"/>
          <w:highlight w:val="none"/>
          <w:u w:val="single"/>
        </w:rPr>
        <w:t>起重设备及抓斗维保服务（</w:t>
      </w:r>
      <w:r>
        <w:rPr>
          <w:rFonts w:cs="宋体"/>
          <w:spacing w:val="2"/>
          <w:highlight w:val="none"/>
          <w:u w:val="single"/>
        </w:rPr>
        <w:t>15</w:t>
      </w:r>
      <w:r>
        <w:rPr>
          <w:rFonts w:hint="eastAsia" w:cs="宋体"/>
          <w:spacing w:val="2"/>
          <w:highlight w:val="none"/>
          <w:u w:val="single"/>
        </w:rPr>
        <w:t>台行车、18个抓斗、</w:t>
      </w:r>
      <w:r>
        <w:rPr>
          <w:rFonts w:cs="宋体"/>
          <w:spacing w:val="2"/>
          <w:highlight w:val="none"/>
          <w:u w:val="single"/>
        </w:rPr>
        <w:t>6</w:t>
      </w:r>
      <w:r>
        <w:rPr>
          <w:rFonts w:hint="eastAsia" w:cs="宋体"/>
          <w:spacing w:val="2"/>
          <w:highlight w:val="none"/>
          <w:u w:val="single"/>
        </w:rPr>
        <w:t>台电动葫芦）</w:t>
      </w:r>
      <w:r>
        <w:rPr>
          <w:rFonts w:hint="eastAsia" w:cs="宋体"/>
          <w:spacing w:val="2"/>
          <w:highlight w:val="none"/>
        </w:rPr>
        <w:t>。</w:t>
      </w:r>
    </w:p>
    <w:bookmarkEnd w:id="2"/>
    <w:p>
      <w:pPr>
        <w:spacing w:line="400" w:lineRule="exact"/>
        <w:ind w:firstLine="480" w:firstLineChars="200"/>
        <w:jc w:val="left"/>
        <w:rPr>
          <w:rFonts w:ascii="宋体" w:hAnsi="宋体" w:eastAsia="宋体" w:cs="宋体"/>
          <w:sz w:val="24"/>
          <w:highlight w:val="none"/>
        </w:rPr>
      </w:pPr>
      <w:r>
        <w:rPr>
          <w:rFonts w:hint="eastAsia" w:ascii="宋体" w:hAnsi="宋体" w:eastAsia="宋体" w:cs="宋体"/>
          <w:bCs/>
          <w:sz w:val="24"/>
          <w:highlight w:val="none"/>
          <w:u w:val="single"/>
        </w:rPr>
        <w:t>（2）服务</w:t>
      </w:r>
      <w:r>
        <w:rPr>
          <w:rFonts w:hint="eastAsia" w:ascii="宋体" w:hAnsi="宋体" w:eastAsia="宋体" w:cs="宋体"/>
          <w:bCs/>
          <w:sz w:val="24"/>
          <w:highlight w:val="none"/>
          <w:u w:val="single"/>
          <w:lang w:val="zh-CN"/>
        </w:rPr>
        <w:t>期：</w:t>
      </w:r>
      <w:r>
        <w:rPr>
          <w:rFonts w:hint="eastAsia" w:ascii="宋体" w:hAnsi="宋体" w:eastAsia="宋体" w:cs="宋体"/>
          <w:sz w:val="24"/>
          <w:highlight w:val="none"/>
          <w:u w:val="single"/>
          <w:lang w:val="zh-CN"/>
        </w:rPr>
        <w:t>合同签订</w:t>
      </w:r>
      <w:r>
        <w:rPr>
          <w:rFonts w:hint="eastAsia" w:ascii="宋体" w:hAnsi="宋体" w:eastAsia="宋体" w:cs="宋体"/>
          <w:sz w:val="24"/>
          <w:highlight w:val="none"/>
          <w:u w:val="single"/>
        </w:rPr>
        <w:t>后两年。</w:t>
      </w:r>
      <w:r>
        <w:rPr>
          <w:rFonts w:hint="eastAsia" w:ascii="宋体" w:hAnsi="宋体" w:eastAsia="宋体" w:cs="宋体"/>
          <w:sz w:val="24"/>
          <w:highlight w:val="none"/>
          <w:u w:val="single"/>
          <w:lang w:val="zh-CN"/>
        </w:rPr>
        <w:t>具体需求详见招标文件第三章“用户需求和技术要求”</w:t>
      </w:r>
      <w:r>
        <w:rPr>
          <w:rFonts w:hint="eastAsia" w:ascii="宋体" w:hAnsi="宋体" w:eastAsia="宋体" w:cs="宋体"/>
          <w:sz w:val="24"/>
          <w:highlight w:val="none"/>
        </w:rPr>
        <w:t>。</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8、投标人资格条件</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napToGrid w:val="0"/>
          <w:kern w:val="0"/>
          <w:sz w:val="24"/>
          <w:highlight w:val="none"/>
          <w:lang w:val="zh-CN"/>
        </w:rPr>
        <w:t>（</w:t>
      </w:r>
      <w:r>
        <w:rPr>
          <w:rFonts w:hint="eastAsia" w:ascii="宋体" w:hAnsi="宋体" w:eastAsia="宋体" w:cs="宋体"/>
          <w:snapToGrid w:val="0"/>
          <w:kern w:val="0"/>
          <w:sz w:val="24"/>
          <w:highlight w:val="none"/>
        </w:rPr>
        <w:t>1</w:t>
      </w:r>
      <w:r>
        <w:rPr>
          <w:rFonts w:hint="eastAsia" w:ascii="宋体" w:hAnsi="宋体" w:eastAsia="宋体" w:cs="宋体"/>
          <w:snapToGrid w:val="0"/>
          <w:kern w:val="0"/>
          <w:sz w:val="24"/>
          <w:highlight w:val="none"/>
          <w:lang w:val="zh-CN"/>
        </w:rPr>
        <w:t>）在</w:t>
      </w:r>
      <w:r>
        <w:rPr>
          <w:rFonts w:hint="eastAsia" w:ascii="宋体" w:hAnsi="宋体" w:eastAsia="宋体" w:cs="宋体"/>
          <w:sz w:val="24"/>
          <w:highlight w:val="none"/>
        </w:rPr>
        <w:t>中华人民共和国境内[</w:t>
      </w:r>
      <w:r>
        <w:rPr>
          <w:rFonts w:hint="eastAsia" w:ascii="宋体" w:hAnsi="宋体" w:eastAsia="宋体" w:cs="宋体"/>
          <w:sz w:val="24"/>
          <w:highlight w:val="none"/>
          <w:u w:val="single"/>
        </w:rPr>
        <w:t>不含港、澳、台地区</w:t>
      </w:r>
      <w:r>
        <w:rPr>
          <w:rFonts w:hint="eastAsia" w:ascii="宋体" w:hAnsi="宋体" w:eastAsia="宋体" w:cs="宋体"/>
          <w:sz w:val="24"/>
          <w:highlight w:val="none"/>
        </w:rPr>
        <w:t>]注册，</w:t>
      </w:r>
      <w:r>
        <w:rPr>
          <w:rFonts w:hint="eastAsia" w:ascii="宋体" w:hAnsi="宋体" w:eastAsia="宋体" w:cs="宋体"/>
          <w:sz w:val="24"/>
          <w:highlight w:val="none"/>
        </w:rPr>
        <w:sym w:font="Wingdings 2" w:char="0052"/>
      </w:r>
      <w:r>
        <w:rPr>
          <w:rFonts w:hint="eastAsia" w:ascii="宋体" w:hAnsi="宋体" w:eastAsia="宋体" w:cs="宋体"/>
          <w:sz w:val="24"/>
          <w:highlight w:val="none"/>
          <w:u w:val="single"/>
        </w:rPr>
        <w:t>具有独立法人资格</w:t>
      </w:r>
      <w:r>
        <w:rPr>
          <w:rFonts w:hint="eastAsia" w:ascii="宋体" w:hAnsi="宋体" w:eastAsia="宋体" w:cs="宋体"/>
          <w:sz w:val="24"/>
          <w:highlight w:val="none"/>
        </w:rPr>
        <w:t xml:space="preserve"> / </w:t>
      </w:r>
      <w:r>
        <w:rPr>
          <w:rFonts w:hint="eastAsia" w:ascii="宋体" w:hAnsi="宋体" w:eastAsia="宋体" w:cs="宋体"/>
          <w:sz w:val="24"/>
          <w:highlight w:val="none"/>
        </w:rPr>
        <w:sym w:font="Wingdings 2" w:char="00A3"/>
      </w:r>
      <w:r>
        <w:rPr>
          <w:rFonts w:hint="eastAsia" w:ascii="宋体" w:hAnsi="宋体" w:eastAsia="宋体" w:cs="宋体"/>
          <w:sz w:val="24"/>
          <w:highlight w:val="none"/>
          <w:u w:val="single"/>
        </w:rPr>
        <w:t>具有独立承担民事责任的能力</w:t>
      </w:r>
      <w:r>
        <w:rPr>
          <w:rFonts w:hint="eastAsia" w:ascii="宋体" w:hAnsi="宋体" w:eastAsia="宋体" w:cs="宋体"/>
          <w:sz w:val="24"/>
          <w:highlight w:val="none"/>
        </w:rPr>
        <w:t>（提供营业执照（或者事业单位法人证书、社会团体法人登记证书、其他组织登记证明文件，下同）副本复印件（加盖公章））；</w:t>
      </w:r>
    </w:p>
    <w:p>
      <w:pPr>
        <w:pStyle w:val="21"/>
        <w:adjustRightInd w:val="0"/>
        <w:snapToGrid w:val="0"/>
        <w:spacing w:before="0" w:beforeAutospacing="0" w:after="0" w:afterAutospacing="0" w:line="400" w:lineRule="exact"/>
        <w:ind w:firstLine="480" w:firstLineChars="200"/>
        <w:rPr>
          <w:rFonts w:cs="宋体"/>
          <w:highlight w:val="none"/>
        </w:rPr>
      </w:pPr>
      <w:r>
        <w:rPr>
          <w:rFonts w:hint="eastAsia" w:cs="宋体"/>
          <w:snapToGrid w:val="0"/>
          <w:highlight w:val="none"/>
          <w:lang w:val="zh-CN"/>
        </w:rPr>
        <w:t>（2）</w:t>
      </w:r>
      <w:r>
        <w:rPr>
          <w:rFonts w:hint="eastAsia" w:cs="宋体"/>
          <w:highlight w:val="none"/>
        </w:rPr>
        <w:t>与招标人存在利害关系可能影响招标公正性的单位，不得参加本项目投标。单位负责人为同一人或者存在控股、管理关系的不同单位，</w:t>
      </w:r>
      <w:r>
        <w:rPr>
          <w:rFonts w:hint="eastAsia" w:cs="宋体"/>
          <w:highlight w:val="none"/>
        </w:rPr>
        <w:sym w:font="Wingdings 2" w:char="0052"/>
      </w:r>
      <w:r>
        <w:rPr>
          <w:rFonts w:hint="eastAsia" w:cs="宋体"/>
          <w:highlight w:val="none"/>
        </w:rPr>
        <w:t xml:space="preserve"> 不得同时参加本招标项目投标 / </w:t>
      </w:r>
      <w:r>
        <w:rPr>
          <w:rFonts w:hint="eastAsia" w:cs="宋体"/>
          <w:highlight w:val="none"/>
        </w:rPr>
        <w:sym w:font="Wingdings 2" w:char="00A3"/>
      </w:r>
      <w:r>
        <w:rPr>
          <w:rFonts w:hint="eastAsia" w:cs="宋体"/>
          <w:highlight w:val="none"/>
        </w:rPr>
        <w:t xml:space="preserve"> 不得参加本招标项目同一标包投标；（提供“国家企业信用信息公示系统”股权及出资情况，查询结果网页截图。）</w:t>
      </w:r>
    </w:p>
    <w:p>
      <w:pPr>
        <w:pStyle w:val="21"/>
        <w:adjustRightInd w:val="0"/>
        <w:snapToGrid w:val="0"/>
        <w:spacing w:before="0" w:beforeAutospacing="0" w:after="0" w:afterAutospacing="0" w:line="400" w:lineRule="exact"/>
        <w:ind w:firstLine="480" w:firstLineChars="200"/>
        <w:rPr>
          <w:rFonts w:cs="宋体"/>
          <w:kern w:val="2"/>
          <w:highlight w:val="none"/>
          <w:u w:val="single"/>
        </w:rPr>
      </w:pPr>
      <w:r>
        <w:rPr>
          <w:rFonts w:hint="eastAsia" w:cs="宋体"/>
          <w:kern w:val="2"/>
          <w:highlight w:val="none"/>
        </w:rPr>
        <w:t xml:space="preserve">（3）本项目 </w:t>
      </w:r>
      <w:r>
        <w:rPr>
          <w:rFonts w:hint="eastAsia" w:cs="宋体"/>
          <w:snapToGrid w:val="0"/>
          <w:highlight w:val="none"/>
        </w:rPr>
        <w:sym w:font="Wingdings 2" w:char="00A3"/>
      </w:r>
      <w:r>
        <w:rPr>
          <w:rFonts w:hint="eastAsia" w:cs="宋体"/>
          <w:kern w:val="2"/>
          <w:highlight w:val="none"/>
          <w:u w:val="single"/>
        </w:rPr>
        <w:t>接受</w:t>
      </w:r>
      <w:r>
        <w:rPr>
          <w:rFonts w:hint="eastAsia" w:cs="宋体"/>
          <w:kern w:val="2"/>
          <w:highlight w:val="none"/>
        </w:rPr>
        <w:t xml:space="preserve"> / </w:t>
      </w:r>
      <w:r>
        <w:rPr>
          <w:rFonts w:hint="eastAsia" w:cs="宋体"/>
          <w:snapToGrid w:val="0"/>
          <w:highlight w:val="none"/>
        </w:rPr>
        <w:sym w:font="Wingdings 2" w:char="0052"/>
      </w:r>
      <w:r>
        <w:rPr>
          <w:rFonts w:hint="eastAsia" w:cs="宋体"/>
          <w:kern w:val="2"/>
          <w:highlight w:val="none"/>
          <w:u w:val="single"/>
        </w:rPr>
        <w:t>不接受</w:t>
      </w:r>
      <w:r>
        <w:rPr>
          <w:rFonts w:hint="eastAsia" w:cs="宋体"/>
          <w:kern w:val="2"/>
          <w:highlight w:val="none"/>
        </w:rPr>
        <w:t>联合体投标。联合体投标的，应满足下列要求：</w:t>
      </w:r>
      <w:r>
        <w:rPr>
          <w:rFonts w:hint="eastAsia" w:cs="宋体"/>
          <w:kern w:val="2"/>
          <w:highlight w:val="none"/>
          <w:u w:val="single"/>
        </w:rPr>
        <w:t xml:space="preserve"> / </w:t>
      </w:r>
      <w:r>
        <w:rPr>
          <w:rFonts w:hint="eastAsia" w:cs="宋体"/>
          <w:kern w:val="2"/>
          <w:highlight w:val="none"/>
        </w:rPr>
        <w:t>。</w:t>
      </w:r>
    </w:p>
    <w:p>
      <w:pPr>
        <w:pStyle w:val="21"/>
        <w:adjustRightInd w:val="0"/>
        <w:snapToGrid w:val="0"/>
        <w:spacing w:before="0" w:beforeAutospacing="0" w:after="0" w:afterAutospacing="0" w:line="400" w:lineRule="exact"/>
        <w:ind w:firstLine="480" w:firstLineChars="200"/>
        <w:rPr>
          <w:rFonts w:cs="宋体"/>
          <w:highlight w:val="none"/>
        </w:rPr>
      </w:pPr>
      <w:r>
        <w:rPr>
          <w:rFonts w:hint="eastAsia" w:cs="宋体"/>
          <w:snapToGrid w:val="0"/>
          <w:highlight w:val="none"/>
        </w:rPr>
        <w:t>（4）</w:t>
      </w:r>
      <w:r>
        <w:rPr>
          <w:rFonts w:hint="eastAsia" w:cs="宋体"/>
          <w:highlight w:val="none"/>
        </w:rPr>
        <w:t>近三年内，未被“信用中国”（www.creditchina.gov.cn）、中国政府采购网（www.ccgp.gov.cn）等官方网站列入失信被执行人、重大税收违法失信主体、政府采购严重违法失信行为等不良记录名单。（提供查询结果网页截图。）</w:t>
      </w:r>
    </w:p>
    <w:p>
      <w:pPr>
        <w:adjustRightInd w:val="0"/>
        <w:snapToGrid w:val="0"/>
        <w:spacing w:line="400" w:lineRule="exact"/>
        <w:ind w:firstLine="480" w:firstLineChars="200"/>
        <w:rPr>
          <w:rFonts w:ascii="宋体" w:hAnsi="宋体" w:eastAsia="宋体" w:cs="宋体"/>
          <w:sz w:val="24"/>
          <w:highlight w:val="none"/>
          <w:u w:val="single"/>
        </w:rPr>
      </w:pPr>
      <w:r>
        <w:rPr>
          <w:rFonts w:hint="eastAsia" w:ascii="宋体" w:hAnsi="宋体" w:eastAsia="宋体" w:cs="宋体"/>
          <w:snapToGrid w:val="0"/>
          <w:kern w:val="0"/>
          <w:sz w:val="24"/>
          <w:highlight w:val="none"/>
          <w:lang w:val="zh-CN"/>
        </w:rPr>
        <w:t>（</w:t>
      </w:r>
      <w:r>
        <w:rPr>
          <w:rFonts w:hint="eastAsia" w:ascii="宋体" w:hAnsi="宋体" w:eastAsia="宋体" w:cs="宋体"/>
          <w:snapToGrid w:val="0"/>
          <w:kern w:val="0"/>
          <w:sz w:val="24"/>
          <w:highlight w:val="none"/>
        </w:rPr>
        <w:t>5</w:t>
      </w:r>
      <w:r>
        <w:rPr>
          <w:rFonts w:hint="eastAsia" w:ascii="宋体" w:hAnsi="宋体" w:eastAsia="宋体" w:cs="宋体"/>
          <w:snapToGrid w:val="0"/>
          <w:kern w:val="0"/>
          <w:sz w:val="24"/>
          <w:highlight w:val="none"/>
          <w:lang w:val="zh-CN"/>
        </w:rPr>
        <w:t>）</w:t>
      </w:r>
      <w:r>
        <w:rPr>
          <w:rFonts w:hint="eastAsia" w:ascii="宋体" w:hAnsi="宋体" w:eastAsia="宋体" w:cs="宋体"/>
          <w:sz w:val="24"/>
          <w:highlight w:val="none"/>
          <w:u w:val="single"/>
        </w:rPr>
        <w:t>业绩证明：无。</w:t>
      </w:r>
    </w:p>
    <w:p>
      <w:pPr>
        <w:pStyle w:val="2"/>
        <w:ind w:firstLine="480" w:firstLineChars="200"/>
        <w:rPr>
          <w:rFonts w:ascii="宋体" w:hAnsi="宋体" w:cs="宋体"/>
          <w:kern w:val="2"/>
          <w:sz w:val="24"/>
          <w:highlight w:val="none"/>
        </w:rPr>
      </w:pPr>
      <w:r>
        <w:rPr>
          <w:rFonts w:hint="eastAsia" w:ascii="宋体" w:hAnsi="宋体" w:cs="宋体"/>
          <w:kern w:val="2"/>
          <w:sz w:val="24"/>
          <w:highlight w:val="none"/>
        </w:rPr>
        <w:t>（6）投标人具有政府部门核发的</w:t>
      </w:r>
      <w:bookmarkStart w:id="3" w:name="OLE_LINK9"/>
      <w:r>
        <w:rPr>
          <w:rFonts w:hint="eastAsia" w:ascii="宋体" w:hAnsi="宋体" w:cs="宋体"/>
          <w:kern w:val="2"/>
          <w:sz w:val="24"/>
          <w:highlight w:val="none"/>
        </w:rPr>
        <w:t>特种设备制造许可证</w:t>
      </w:r>
      <w:bookmarkEnd w:id="3"/>
      <w:r>
        <w:rPr>
          <w:rFonts w:hint="eastAsia" w:ascii="宋体" w:hAnsi="宋体" w:cs="宋体"/>
          <w:kern w:val="2"/>
          <w:sz w:val="24"/>
          <w:highlight w:val="none"/>
        </w:rPr>
        <w:t>（许可项目满足起重机械制造中的安装、</w:t>
      </w:r>
      <w:r>
        <w:rPr>
          <w:rFonts w:hint="eastAsia" w:ascii="宋体" w:hAnsi="宋体" w:cs="宋体"/>
          <w:kern w:val="2"/>
          <w:sz w:val="24"/>
          <w:highlight w:val="none"/>
          <w:lang w:val="en-US" w:eastAsia="zh-CN"/>
        </w:rPr>
        <w:t>修理、</w:t>
      </w:r>
      <w:r>
        <w:rPr>
          <w:rFonts w:hint="eastAsia" w:ascii="宋体" w:hAnsi="宋体" w:cs="宋体"/>
          <w:kern w:val="2"/>
          <w:sz w:val="24"/>
          <w:highlight w:val="none"/>
        </w:rPr>
        <w:t>改造任何一项）</w:t>
      </w:r>
      <w:r>
        <w:rPr>
          <w:rFonts w:hint="eastAsia" w:ascii="宋体" w:hAnsi="宋体" w:cs="宋体"/>
          <w:kern w:val="2"/>
          <w:sz w:val="24"/>
          <w:highlight w:val="none"/>
        </w:rPr>
        <w:t>。</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（7）近两年内未被列入</w:t>
      </w:r>
      <w:r>
        <w:rPr>
          <w:rFonts w:hint="eastAsia" w:ascii="宋体" w:hAnsi="宋体" w:eastAsia="宋体" w:cs="宋体"/>
          <w:sz w:val="24"/>
          <w:highlight w:val="none"/>
          <w:lang w:eastAsia="zh-CN"/>
        </w:rPr>
        <w:t>杭州市环境集团有限公司</w:t>
      </w:r>
      <w:r>
        <w:rPr>
          <w:rFonts w:hint="eastAsia" w:ascii="宋体" w:hAnsi="宋体" w:eastAsia="宋体" w:cs="宋体"/>
          <w:sz w:val="24"/>
          <w:highlight w:val="none"/>
        </w:rPr>
        <w:t>黑名单或者不合格投标人名录库。</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注：上述证明资料须齐全、有效，复印件应加盖投标人单位公章（非电子投标项目所盖印章均物理印章，加盖电子印章的将被视为无效，下同），并在投标文件中提供。</w:t>
      </w:r>
    </w:p>
    <w:p>
      <w:pPr>
        <w:pStyle w:val="21"/>
        <w:adjustRightInd w:val="0"/>
        <w:snapToGrid w:val="0"/>
        <w:spacing w:before="0" w:beforeAutospacing="0" w:after="0" w:afterAutospacing="0" w:line="400" w:lineRule="exact"/>
        <w:ind w:firstLine="482" w:firstLineChars="200"/>
        <w:rPr>
          <w:rFonts w:cs="宋体"/>
          <w:b/>
          <w:bCs/>
          <w:highlight w:val="none"/>
        </w:rPr>
      </w:pPr>
      <w:r>
        <w:rPr>
          <w:rFonts w:hint="eastAsia" w:cs="宋体"/>
          <w:b/>
          <w:bCs/>
          <w:highlight w:val="none"/>
        </w:rPr>
        <w:t>9、投标人登记认证</w:t>
      </w:r>
    </w:p>
    <w:p>
      <w:pPr>
        <w:pStyle w:val="21"/>
        <w:adjustRightInd w:val="0"/>
        <w:snapToGrid w:val="0"/>
        <w:spacing w:before="0" w:beforeAutospacing="0" w:after="0" w:afterAutospacing="0" w:line="400" w:lineRule="exact"/>
        <w:ind w:firstLine="480" w:firstLineChars="200"/>
        <w:rPr>
          <w:rFonts w:cs="宋体"/>
          <w:highlight w:val="none"/>
        </w:rPr>
      </w:pPr>
      <w:r>
        <w:rPr>
          <w:rFonts w:hint="eastAsia" w:cs="宋体"/>
          <w:highlight w:val="none"/>
        </w:rPr>
        <w:t>（1）凡首次参加杭州城投采购平台投标的投标人，应于投标报名截止日前（法定公休日、 法定节假日除外）完成“杭州城投采购平台”注册登记和企业信息认证，并按招标文件要求完成网上报名。</w:t>
      </w:r>
    </w:p>
    <w:p>
      <w:pPr>
        <w:pStyle w:val="21"/>
        <w:adjustRightInd w:val="0"/>
        <w:snapToGrid w:val="0"/>
        <w:spacing w:before="0" w:beforeAutospacing="0" w:after="0" w:afterAutospacing="0" w:line="400" w:lineRule="exact"/>
        <w:ind w:firstLine="480" w:firstLineChars="200"/>
        <w:rPr>
          <w:rFonts w:cs="宋体"/>
          <w:highlight w:val="none"/>
        </w:rPr>
      </w:pPr>
      <w:r>
        <w:rPr>
          <w:rFonts w:hint="eastAsia" w:cs="宋体"/>
          <w:highlight w:val="none"/>
        </w:rPr>
        <w:t>(2)“杭州城投采购平台”注册登记办理：在杭州城投采购平台网站首页（https://jczx.hzcjtz.com/）“平台登录 ”栏目点击“立即注册 ”完成企业信息注册登记。咨询电话：400-0666-571。</w:t>
      </w:r>
    </w:p>
    <w:p>
      <w:pPr>
        <w:pStyle w:val="21"/>
        <w:adjustRightInd w:val="0"/>
        <w:snapToGrid w:val="0"/>
        <w:spacing w:before="0" w:beforeAutospacing="0" w:after="0" w:afterAutospacing="0" w:line="400" w:lineRule="exact"/>
        <w:ind w:firstLine="480" w:firstLineChars="200"/>
        <w:rPr>
          <w:rFonts w:cs="宋体"/>
          <w:highlight w:val="none"/>
        </w:rPr>
      </w:pPr>
      <w:r>
        <w:rPr>
          <w:rFonts w:hint="eastAsia" w:cs="宋体"/>
          <w:highlight w:val="none"/>
        </w:rPr>
        <w:t>(3)“杭州城投采购平台”企业信息认证：在杭州城投采购平台网站首页（https://jczx.hzcjtz.com/）点击“CA锁办理 ”跳转至CA锁办理平台自行完成企业CA锁办理，已在杭州市公共资源交易网办理天谷CA锁的供应商可以使用原有CA锁；使用已注册的管理员账号登录杭州城投采购平台，进入后台，点击“企业信息”菜单一“去认证”按钮，使用 CA锁完成企业信息认证。咨询电话：400-0666-571。</w:t>
      </w:r>
    </w:p>
    <w:p>
      <w:pPr>
        <w:pStyle w:val="21"/>
        <w:adjustRightInd w:val="0"/>
        <w:snapToGrid w:val="0"/>
        <w:spacing w:before="0" w:beforeAutospacing="0" w:after="0" w:afterAutospacing="0" w:line="400" w:lineRule="exact"/>
        <w:ind w:firstLine="482" w:firstLineChars="200"/>
        <w:rPr>
          <w:rFonts w:cs="宋体"/>
          <w:b/>
          <w:bCs/>
          <w:highlight w:val="none"/>
        </w:rPr>
      </w:pPr>
      <w:r>
        <w:rPr>
          <w:rFonts w:hint="eastAsia" w:cs="宋体"/>
          <w:b/>
          <w:bCs/>
          <w:highlight w:val="none"/>
        </w:rPr>
        <w:t>10、投标报名方式</w:t>
      </w:r>
    </w:p>
    <w:p>
      <w:pPr>
        <w:pStyle w:val="21"/>
        <w:adjustRightInd w:val="0"/>
        <w:snapToGrid w:val="0"/>
        <w:spacing w:before="0" w:beforeAutospacing="0" w:after="0" w:afterAutospacing="0" w:line="400" w:lineRule="exact"/>
        <w:ind w:firstLine="480" w:firstLineChars="200"/>
        <w:rPr>
          <w:rFonts w:hint="eastAsia" w:cs="宋体"/>
          <w:highlight w:val="none"/>
        </w:rPr>
      </w:pPr>
      <w:r>
        <w:rPr>
          <w:rFonts w:hint="eastAsia" w:cs="宋体"/>
          <w:highlight w:val="none"/>
        </w:rPr>
        <w:t>本项目不设置线下报名环节，但需按“投标人登记认证”完成网上报名。具体要求如下：</w:t>
      </w:r>
    </w:p>
    <w:p>
      <w:pPr>
        <w:pStyle w:val="21"/>
        <w:adjustRightInd w:val="0"/>
        <w:snapToGrid w:val="0"/>
        <w:spacing w:before="0" w:beforeAutospacing="0" w:after="0" w:afterAutospacing="0" w:line="400" w:lineRule="exact"/>
        <w:ind w:firstLine="480" w:firstLineChars="200"/>
        <w:rPr>
          <w:rFonts w:hint="eastAsia" w:cs="宋体"/>
          <w:highlight w:val="none"/>
        </w:rPr>
      </w:pPr>
      <w:r>
        <w:rPr>
          <w:rFonts w:hint="eastAsia" w:cs="宋体"/>
          <w:highlight w:val="none"/>
        </w:rPr>
        <w:t>（1）网上报名方式:投标报名截止日前完成登记认证后在杭州城投采购平台网站首页(https://jczx.hzcjtz.com/home/#/index)进行网上报名。如因投标人未按平台要求报名成功导致无法投标或开标异常的，投标人自行承担导致的后果。</w:t>
      </w:r>
    </w:p>
    <w:p>
      <w:pPr>
        <w:pStyle w:val="21"/>
        <w:adjustRightInd w:val="0"/>
        <w:snapToGrid w:val="0"/>
        <w:spacing w:before="0" w:beforeAutospacing="0" w:after="0" w:afterAutospacing="0" w:line="400" w:lineRule="exact"/>
        <w:ind w:firstLine="480" w:firstLineChars="200"/>
        <w:rPr>
          <w:rFonts w:hint="eastAsia" w:cs="宋体"/>
          <w:highlight w:val="none"/>
        </w:rPr>
      </w:pPr>
      <w:r>
        <w:rPr>
          <w:rFonts w:hint="eastAsia" w:cs="宋体"/>
          <w:highlight w:val="none"/>
        </w:rPr>
        <w:t>（2）报名时须提交的资料:</w:t>
      </w:r>
    </w:p>
    <w:p>
      <w:pPr>
        <w:pStyle w:val="21"/>
        <w:adjustRightInd w:val="0"/>
        <w:snapToGrid w:val="0"/>
        <w:spacing w:before="0" w:beforeAutospacing="0" w:after="0" w:afterAutospacing="0" w:line="400" w:lineRule="exact"/>
        <w:ind w:firstLine="480" w:firstLineChars="200"/>
        <w:rPr>
          <w:rFonts w:hint="eastAsia" w:cs="宋体"/>
          <w:highlight w:val="none"/>
        </w:rPr>
      </w:pPr>
      <w:r>
        <w:rPr>
          <w:rFonts w:hint="eastAsia" w:cs="宋体"/>
          <w:highlight w:val="none"/>
        </w:rPr>
        <w:t>①法定代表人授权委托书扫描件;</w:t>
      </w:r>
    </w:p>
    <w:p>
      <w:pPr>
        <w:pStyle w:val="21"/>
        <w:adjustRightInd w:val="0"/>
        <w:snapToGrid w:val="0"/>
        <w:spacing w:before="0" w:beforeAutospacing="0" w:after="0" w:afterAutospacing="0" w:line="400" w:lineRule="exact"/>
        <w:ind w:firstLine="480" w:firstLineChars="200"/>
        <w:rPr>
          <w:rFonts w:hint="eastAsia" w:cs="宋体"/>
          <w:highlight w:val="none"/>
        </w:rPr>
      </w:pPr>
      <w:r>
        <w:rPr>
          <w:rFonts w:hint="eastAsia" w:cs="宋体"/>
          <w:highlight w:val="none"/>
        </w:rPr>
        <w:t>②营业执照扫描件;</w:t>
      </w:r>
    </w:p>
    <w:p>
      <w:pPr>
        <w:pStyle w:val="21"/>
        <w:adjustRightInd w:val="0"/>
        <w:snapToGrid w:val="0"/>
        <w:spacing w:before="0" w:beforeAutospacing="0" w:after="0" w:afterAutospacing="0" w:line="400" w:lineRule="exact"/>
        <w:ind w:firstLine="480" w:firstLineChars="200"/>
        <w:rPr>
          <w:rFonts w:hint="eastAsia" w:cs="宋体"/>
          <w:highlight w:val="none"/>
        </w:rPr>
      </w:pPr>
      <w:r>
        <w:rPr>
          <w:rFonts w:hint="eastAsia" w:cs="宋体"/>
          <w:highlight w:val="none"/>
        </w:rPr>
        <w:t>③授权代表有效身份证扫描件。</w:t>
      </w:r>
    </w:p>
    <w:p>
      <w:pPr>
        <w:pStyle w:val="21"/>
        <w:adjustRightInd w:val="0"/>
        <w:snapToGrid w:val="0"/>
        <w:spacing w:before="0" w:beforeAutospacing="0" w:after="0" w:afterAutospacing="0" w:line="400" w:lineRule="exact"/>
        <w:ind w:firstLine="482" w:firstLineChars="200"/>
        <w:rPr>
          <w:rFonts w:cs="宋体"/>
          <w:b/>
          <w:bCs/>
          <w:highlight w:val="none"/>
        </w:rPr>
      </w:pPr>
      <w:r>
        <w:rPr>
          <w:rFonts w:hint="eastAsia" w:cs="宋体"/>
          <w:b/>
          <w:bCs/>
          <w:highlight w:val="none"/>
        </w:rPr>
        <w:t>11、招标文件获取</w:t>
      </w:r>
    </w:p>
    <w:p>
      <w:pPr>
        <w:pStyle w:val="21"/>
        <w:wordWrap w:val="0"/>
        <w:adjustRightInd w:val="0"/>
        <w:snapToGrid w:val="0"/>
        <w:spacing w:before="0" w:beforeAutospacing="0" w:after="0" w:afterAutospacing="0" w:line="400" w:lineRule="exact"/>
        <w:ind w:firstLine="480" w:firstLineChars="200"/>
        <w:rPr>
          <w:rFonts w:cs="宋体"/>
          <w:b/>
          <w:bCs/>
          <w:highlight w:val="none"/>
        </w:rPr>
      </w:pPr>
      <w:r>
        <w:rPr>
          <w:rFonts w:hint="eastAsia" w:cs="宋体"/>
          <w:highlight w:val="none"/>
        </w:rPr>
        <w:t>以网上下载方式获取：下载网址：浙江政府采购网（http://zfcg.czt.zj.gov.cn/）、杭州市环境集团有限公司官网（https://www.cnlandfill.net/index.aspx）、杭州临江环境能源有限公司网站（https://www.ljhjny.com/）、城投招采平台（https://jczx.hzcjt z.com/home/#/home）免费下载；下载时间：自本项目招标公告发布之日起至投标截止时间止（投标人对招标文件提出问题截止时间：</w:t>
      </w:r>
      <w:r>
        <w:rPr>
          <w:rFonts w:hint="eastAsia" w:cs="宋体"/>
          <w:highlight w:val="none"/>
          <w:u w:val="single"/>
        </w:rPr>
        <w:t xml:space="preserve"> 2024 </w:t>
      </w:r>
      <w:r>
        <w:rPr>
          <w:rFonts w:hint="eastAsia" w:cs="宋体"/>
          <w:highlight w:val="none"/>
        </w:rPr>
        <w:t>年月日12:00）。</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12、投标截止时间和投标地点：</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（1）投标截止时间：2024年</w:t>
      </w:r>
      <w:r>
        <w:rPr>
          <w:rFonts w:hint="eastAsia" w:ascii="宋体" w:hAnsi="宋体" w:eastAsia="宋体" w:cs="宋体"/>
          <w:sz w:val="24"/>
          <w:highlight w:val="none"/>
          <w:lang w:val="en-US" w:eastAsia="zh-CN"/>
        </w:rPr>
        <w:t>11</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20</w:t>
      </w:r>
      <w:r>
        <w:rPr>
          <w:rFonts w:hint="eastAsia" w:ascii="宋体" w:hAnsi="宋体" w:eastAsia="宋体" w:cs="宋体"/>
          <w:sz w:val="24"/>
          <w:highlight w:val="none"/>
        </w:rPr>
        <w:t>日1</w:t>
      </w:r>
      <w:r>
        <w:rPr>
          <w:rFonts w:hint="eastAsia" w:ascii="宋体" w:hAnsi="宋体" w:eastAsia="宋体" w:cs="宋体"/>
          <w:sz w:val="24"/>
          <w:highlight w:val="none"/>
          <w:lang w:val="en-US" w:eastAsia="zh-CN"/>
        </w:rPr>
        <w:t>0</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3</w:t>
      </w:r>
      <w:r>
        <w:rPr>
          <w:rFonts w:hint="eastAsia" w:ascii="宋体" w:hAnsi="宋体" w:eastAsia="宋体" w:cs="宋体"/>
          <w:sz w:val="24"/>
          <w:highlight w:val="none"/>
        </w:rPr>
        <w:t>0 （北京时间）</w:t>
      </w:r>
    </w:p>
    <w:p>
      <w:pPr>
        <w:adjustRightInd w:val="0"/>
        <w:snapToGrid w:val="0"/>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（2）投标地点：杭州市上城区雷霆路90号新宸商务中心3楼开标室316 开标室（2）</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（3）开标时间：同投标截止时间。</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（4）开标地点：同投标地点。</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（5）逾期送达的、未送达指定地点的或者不按照招标文件要求密封的投标文件，招标人将予以拒收。</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13、投标保证金</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 xml:space="preserve">本项目 </w:t>
      </w:r>
      <w:r>
        <w:rPr>
          <w:rFonts w:hint="eastAsia" w:ascii="宋体" w:hAnsi="宋体" w:eastAsia="宋体" w:cs="宋体"/>
          <w:sz w:val="24"/>
          <w:highlight w:val="none"/>
          <w:u w:val="single"/>
        </w:rPr>
        <w:sym w:font="Wingdings 2" w:char="0052"/>
      </w:r>
      <w:r>
        <w:rPr>
          <w:rFonts w:hint="eastAsia" w:ascii="宋体" w:hAnsi="宋体" w:eastAsia="宋体" w:cs="宋体"/>
          <w:sz w:val="24"/>
          <w:highlight w:val="none"/>
          <w:u w:val="single"/>
        </w:rPr>
        <w:t xml:space="preserve"> 需要 / </w:t>
      </w:r>
      <w:r>
        <w:rPr>
          <w:rFonts w:hint="eastAsia" w:ascii="宋体" w:hAnsi="宋体" w:eastAsia="宋体" w:cs="宋体"/>
          <w:sz w:val="24"/>
          <w:highlight w:val="none"/>
          <w:u w:val="single"/>
        </w:rPr>
        <w:sym w:font="Wingdings 2" w:char="00A3"/>
      </w:r>
      <w:r>
        <w:rPr>
          <w:rFonts w:hint="eastAsia" w:ascii="宋体" w:hAnsi="宋体" w:eastAsia="宋体" w:cs="宋体"/>
          <w:sz w:val="24"/>
          <w:highlight w:val="none"/>
          <w:u w:val="single"/>
        </w:rPr>
        <w:t xml:space="preserve"> 不需要缴纳</w:t>
      </w:r>
      <w:r>
        <w:rPr>
          <w:rFonts w:hint="eastAsia" w:ascii="宋体" w:hAnsi="宋体" w:eastAsia="宋体" w:cs="宋体"/>
          <w:sz w:val="24"/>
          <w:highlight w:val="none"/>
        </w:rPr>
        <w:t>投标保证金。交纳投标保证金的具体要求如下：</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（1）投标保证金金额：</w:t>
      </w:r>
      <w:r>
        <w:rPr>
          <w:rFonts w:hint="eastAsia" w:ascii="宋体" w:hAnsi="宋体" w:eastAsia="宋体" w:cs="宋体"/>
          <w:sz w:val="24"/>
          <w:highlight w:val="none"/>
          <w:u w:val="single"/>
        </w:rPr>
        <w:t>55400元</w:t>
      </w:r>
      <w:r>
        <w:rPr>
          <w:rFonts w:hint="eastAsia" w:ascii="宋体" w:hAnsi="宋体" w:eastAsia="宋体" w:cs="宋体"/>
          <w:sz w:val="24"/>
          <w:highlight w:val="none"/>
        </w:rPr>
        <w:t>人民币</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（2）递交方式：电汇/转账（必须为投标企业账户汇出，个人形式递交或现金递交视为未缴纳）</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（3）账户信息：</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 xml:space="preserve">账户名称：杭州市能源集团有限公司 </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 xml:space="preserve">账号：86041110000078615 </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 xml:space="preserve">开户银行名称：宁波银行杭州分行营业部 </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开户银行代码：313331090013</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（4）递交时间：请于投标截止时间前到达上述指定账户中，且须单位账户递交。</w:t>
      </w:r>
    </w:p>
    <w:p>
      <w:pPr>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14 、发布公告的媒介</w:t>
      </w:r>
    </w:p>
    <w:p>
      <w:pPr>
        <w:wordWrap w:val="0"/>
        <w:adjustRightInd w:val="0"/>
        <w:snapToGrid w:val="0"/>
        <w:spacing w:line="400" w:lineRule="exact"/>
        <w:ind w:firstLine="480" w:firstLineChars="200"/>
        <w:rPr>
          <w:rFonts w:ascii="宋体" w:hAnsi="宋体" w:eastAsia="宋体" w:cs="宋体"/>
          <w:b/>
          <w:sz w:val="24"/>
          <w:highlight w:val="none"/>
        </w:rPr>
      </w:pPr>
      <w:r>
        <w:rPr>
          <w:rFonts w:hint="eastAsia" w:ascii="宋体" w:hAnsi="宋体" w:eastAsia="宋体" w:cs="宋体"/>
          <w:sz w:val="24"/>
          <w:highlight w:val="none"/>
        </w:rPr>
        <w:t>本项目相关公告在中国招标投标公共服务平台（http://www.cebpubservice.com/）、浙江政府采购网（http://zfcg.czt.zj.gov.cn/）、杭州市环境集团有限公司官网（https://www.cnlandfill.net/index.aspx）、杭州临江环境能源有限公司网站（https://www.ljhjny.com/）、杭州城投采购平台（https://jczx.hzcjtz.com/home/#/index）发布，如公告内容、时间不一致的以杭州城投采购平台发布的信息、时间为准。</w:t>
      </w:r>
    </w:p>
    <w:p>
      <w:pPr>
        <w:wordWrap w:val="0"/>
        <w:adjustRightInd w:val="0"/>
        <w:snapToGrid w:val="0"/>
        <w:spacing w:line="400" w:lineRule="exact"/>
        <w:ind w:firstLine="482" w:firstLineChars="200"/>
        <w:rPr>
          <w:rFonts w:ascii="宋体" w:hAnsi="宋体" w:eastAsia="宋体" w:cs="宋体"/>
          <w:b/>
          <w:sz w:val="24"/>
          <w:highlight w:val="none"/>
        </w:rPr>
      </w:pPr>
      <w:r>
        <w:rPr>
          <w:rFonts w:hint="eastAsia" w:ascii="宋体" w:hAnsi="宋体" w:eastAsia="宋体" w:cs="宋体"/>
          <w:b/>
          <w:sz w:val="24"/>
          <w:highlight w:val="none"/>
        </w:rPr>
        <w:t>15 、联系方式</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招 标 人：</w:t>
      </w:r>
      <w:r>
        <w:rPr>
          <w:rFonts w:hint="eastAsia" w:ascii="宋体" w:hAnsi="宋体" w:cs="宋体"/>
          <w:snapToGrid w:val="0"/>
          <w:kern w:val="0"/>
          <w:sz w:val="24"/>
          <w:szCs w:val="24"/>
          <w:highlight w:val="none"/>
          <w:u w:val="single"/>
        </w:rPr>
        <w:t>杭州临江环境能源有限公司</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地    址：</w:t>
      </w:r>
      <w:r>
        <w:rPr>
          <w:rFonts w:hint="eastAsia" w:ascii="宋体" w:hAnsi="宋体" w:cs="宋体"/>
          <w:snapToGrid w:val="0"/>
          <w:kern w:val="0"/>
          <w:sz w:val="24"/>
          <w:szCs w:val="24"/>
          <w:highlight w:val="none"/>
          <w:u w:val="single"/>
        </w:rPr>
        <w:t>浙江省杭州市钱塘区临江街道红十五路10388-123号</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联 系 人：</w:t>
      </w:r>
      <w:r>
        <w:rPr>
          <w:rFonts w:hint="eastAsia" w:ascii="宋体" w:hAnsi="宋体" w:cs="宋体"/>
          <w:snapToGrid w:val="0"/>
          <w:kern w:val="0"/>
          <w:sz w:val="24"/>
          <w:szCs w:val="24"/>
          <w:highlight w:val="none"/>
          <w:u w:val="single"/>
        </w:rPr>
        <w:t>华工</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电    话：</w:t>
      </w:r>
      <w:r>
        <w:rPr>
          <w:rFonts w:hint="eastAsia" w:cs="仿宋" w:asciiTheme="minorEastAsia" w:hAnsiTheme="minorEastAsia"/>
          <w:sz w:val="24"/>
          <w:highlight w:val="none"/>
          <w:u w:val="single"/>
        </w:rPr>
        <w:t>0571-81997921</w:t>
      </w:r>
    </w:p>
    <w:p>
      <w:pPr>
        <w:pStyle w:val="8"/>
        <w:tabs>
          <w:tab w:val="left" w:pos="4228"/>
          <w:tab w:val="left" w:pos="7990"/>
        </w:tabs>
        <w:spacing w:line="400" w:lineRule="exact"/>
        <w:ind w:right="865" w:firstLine="480" w:firstLineChars="200"/>
        <w:rPr>
          <w:rFonts w:ascii="宋体" w:hAnsi="宋体" w:cs="宋体"/>
          <w:kern w:val="0"/>
          <w:sz w:val="24"/>
          <w:szCs w:val="24"/>
          <w:highlight w:val="none"/>
          <w:u w:val="single"/>
        </w:rPr>
      </w:pPr>
      <w:r>
        <w:rPr>
          <w:rFonts w:hint="eastAsia" w:ascii="宋体" w:hAnsi="宋体" w:cs="宋体"/>
          <w:snapToGrid w:val="0"/>
          <w:kern w:val="0"/>
          <w:sz w:val="24"/>
          <w:szCs w:val="24"/>
          <w:highlight w:val="none"/>
        </w:rPr>
        <w:t>电子邮件：</w:t>
      </w:r>
      <w:r>
        <w:rPr>
          <w:rFonts w:hint="eastAsia" w:cs="仿宋" w:asciiTheme="minorEastAsia" w:hAnsiTheme="minorEastAsia"/>
          <w:sz w:val="24"/>
          <w:highlight w:val="none"/>
          <w:u w:val="single"/>
        </w:rPr>
        <w:t>LJGS_CG@163.com</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rPr>
      </w:pP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招标代理：</w:t>
      </w:r>
      <w:r>
        <w:rPr>
          <w:rFonts w:hint="eastAsia" w:ascii="宋体" w:hAnsi="宋体" w:cs="宋体"/>
          <w:sz w:val="24"/>
          <w:highlight w:val="none"/>
          <w:u w:val="single"/>
        </w:rPr>
        <w:t>杭州建设工程造价咨询有限公司</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地    址：</w:t>
      </w:r>
      <w:r>
        <w:rPr>
          <w:rFonts w:hint="eastAsia" w:ascii="宋体" w:hAnsi="宋体" w:cs="宋体"/>
          <w:snapToGrid w:val="0"/>
          <w:kern w:val="0"/>
          <w:sz w:val="24"/>
          <w:szCs w:val="24"/>
          <w:highlight w:val="none"/>
          <w:u w:val="single"/>
        </w:rPr>
        <w:t>杭州市萧山区民和路481号联合中心北区D座4楼代理部2</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联 系 人：</w:t>
      </w:r>
      <w:r>
        <w:rPr>
          <w:rFonts w:hint="eastAsia" w:ascii="宋体" w:hAnsi="宋体" w:cs="宋体"/>
          <w:snapToGrid w:val="0"/>
          <w:kern w:val="0"/>
          <w:sz w:val="24"/>
          <w:szCs w:val="24"/>
          <w:highlight w:val="none"/>
          <w:u w:val="single"/>
        </w:rPr>
        <w:t>李月园/周婉卿/刘凯威</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电    话：</w:t>
      </w:r>
      <w:bookmarkStart w:id="4" w:name="OLE_LINK8"/>
      <w:r>
        <w:rPr>
          <w:rFonts w:hint="eastAsia" w:ascii="宋体" w:hAnsi="宋体" w:cs="宋体"/>
          <w:snapToGrid w:val="0"/>
          <w:kern w:val="0"/>
          <w:sz w:val="24"/>
          <w:szCs w:val="24"/>
          <w:highlight w:val="none"/>
          <w:u w:val="single"/>
        </w:rPr>
        <w:t>17681859928</w:t>
      </w:r>
      <w:bookmarkEnd w:id="4"/>
      <w:r>
        <w:rPr>
          <w:rFonts w:hint="eastAsia" w:ascii="宋体" w:hAnsi="宋体" w:cs="宋体"/>
          <w:snapToGrid w:val="0"/>
          <w:kern w:val="0"/>
          <w:sz w:val="24"/>
          <w:szCs w:val="24"/>
          <w:highlight w:val="none"/>
          <w:u w:val="single"/>
        </w:rPr>
        <w:t>/13666671903</w:t>
      </w:r>
    </w:p>
    <w:p>
      <w:pPr>
        <w:pStyle w:val="8"/>
        <w:tabs>
          <w:tab w:val="left" w:pos="4228"/>
          <w:tab w:val="left" w:pos="7990"/>
        </w:tabs>
        <w:spacing w:line="400" w:lineRule="exact"/>
        <w:ind w:right="865" w:firstLine="480" w:firstLineChars="200"/>
        <w:rPr>
          <w:highlight w:val="none"/>
        </w:rPr>
      </w:pPr>
      <w:r>
        <w:rPr>
          <w:rFonts w:hint="eastAsia" w:ascii="宋体" w:hAnsi="宋体" w:cs="宋体"/>
          <w:snapToGrid w:val="0"/>
          <w:kern w:val="0"/>
          <w:sz w:val="24"/>
          <w:szCs w:val="24"/>
          <w:highlight w:val="none"/>
        </w:rPr>
        <w:t>电子邮件：</w:t>
      </w:r>
      <w:r>
        <w:rPr>
          <w:rFonts w:hint="eastAsia" w:ascii="宋体" w:hAnsi="宋体" w:cs="宋体"/>
          <w:snapToGrid w:val="0"/>
          <w:kern w:val="0"/>
          <w:sz w:val="24"/>
          <w:szCs w:val="24"/>
          <w:highlight w:val="none"/>
          <w:u w:val="single"/>
        </w:rPr>
        <w:t>61540061@qq.com</w:t>
      </w:r>
    </w:p>
    <w:p>
      <w:pPr>
        <w:pStyle w:val="8"/>
        <w:tabs>
          <w:tab w:val="left" w:pos="4228"/>
          <w:tab w:val="left" w:pos="7990"/>
        </w:tabs>
        <w:spacing w:line="400" w:lineRule="exact"/>
        <w:ind w:right="865" w:firstLine="480" w:firstLineChars="200"/>
        <w:rPr>
          <w:rFonts w:ascii="宋体" w:hAnsi="宋体" w:cs="宋体"/>
          <w:snapToGrid w:val="0"/>
          <w:kern w:val="0"/>
          <w:sz w:val="24"/>
          <w:szCs w:val="24"/>
          <w:highlight w:val="none"/>
        </w:rPr>
      </w:pPr>
    </w:p>
    <w:p>
      <w:pPr>
        <w:pStyle w:val="9"/>
        <w:spacing w:line="400" w:lineRule="exact"/>
        <w:ind w:firstLine="210"/>
        <w:rPr>
          <w:rFonts w:ascii="宋体" w:hAnsi="宋体" w:cs="宋体"/>
          <w:highlight w:val="none"/>
        </w:rPr>
      </w:pPr>
    </w:p>
    <w:p>
      <w:pPr>
        <w:pStyle w:val="8"/>
        <w:tabs>
          <w:tab w:val="left" w:pos="4228"/>
          <w:tab w:val="left" w:pos="7990"/>
        </w:tabs>
        <w:spacing w:line="400" w:lineRule="exact"/>
        <w:ind w:right="865" w:firstLine="5040" w:firstLineChars="2100"/>
        <w:rPr>
          <w:rFonts w:ascii="宋体" w:hAnsi="宋体" w:cs="宋体"/>
          <w:sz w:val="24"/>
          <w:szCs w:val="24"/>
          <w:highlight w:val="none"/>
        </w:rPr>
      </w:pPr>
      <w:r>
        <w:rPr>
          <w:rFonts w:hint="eastAsia" w:ascii="宋体" w:hAnsi="宋体" w:cs="宋体"/>
          <w:sz w:val="24"/>
          <w:szCs w:val="24"/>
          <w:highlight w:val="none"/>
          <w:u w:val="single"/>
        </w:rPr>
        <w:t xml:space="preserve">2024 </w:t>
      </w:r>
      <w:r>
        <w:rPr>
          <w:rFonts w:hint="eastAsia" w:ascii="宋体" w:hAnsi="宋体" w:cs="宋体"/>
          <w:sz w:val="24"/>
          <w:szCs w:val="24"/>
          <w:highlight w:val="none"/>
        </w:rPr>
        <w:t>年</w:t>
      </w:r>
      <w:r>
        <w:rPr>
          <w:rFonts w:hint="eastAsia" w:ascii="宋体" w:hAnsi="宋体" w:cs="宋体"/>
          <w:sz w:val="24"/>
          <w:szCs w:val="24"/>
          <w:highlight w:val="none"/>
          <w:u w:val="single"/>
        </w:rPr>
        <w:t>10</w:t>
      </w:r>
      <w:r>
        <w:rPr>
          <w:rFonts w:hint="eastAsia" w:ascii="宋体" w:hAnsi="宋体" w:cs="宋体"/>
          <w:sz w:val="24"/>
          <w:szCs w:val="24"/>
          <w:highlight w:val="none"/>
        </w:rPr>
        <w:t>月</w:t>
      </w:r>
      <w:r>
        <w:rPr>
          <w:rFonts w:hint="eastAsia" w:ascii="宋体" w:hAnsi="宋体" w:cs="宋体"/>
          <w:sz w:val="24"/>
          <w:szCs w:val="24"/>
          <w:highlight w:val="none"/>
          <w:u w:val="single"/>
          <w:lang w:val="en-US" w:eastAsia="zh-CN"/>
        </w:rPr>
        <w:t>30</w:t>
      </w:r>
      <w:r>
        <w:rPr>
          <w:rFonts w:hint="eastAsia" w:ascii="宋体" w:hAnsi="宋体" w:cs="宋体"/>
          <w:sz w:val="24"/>
          <w:szCs w:val="24"/>
          <w:highlight w:val="none"/>
        </w:rPr>
        <w:t>日</w:t>
      </w:r>
    </w:p>
    <w:p>
      <w:pPr>
        <w:rPr>
          <w:highlight w:val="none"/>
        </w:rPr>
      </w:pPr>
      <w:r>
        <w:rPr>
          <w:highlight w:val="none"/>
        </w:rPr>
        <w:br w:type="page"/>
      </w:r>
    </w:p>
    <w:p>
      <w:pPr>
        <w:widowControl/>
        <w:spacing w:line="400" w:lineRule="exact"/>
        <w:jc w:val="center"/>
        <w:outlineLvl w:val="0"/>
        <w:rPr>
          <w:rFonts w:ascii="宋体" w:hAnsi="宋体" w:eastAsia="宋体" w:cs="宋体"/>
          <w:b/>
          <w:bCs/>
          <w:kern w:val="0"/>
          <w:szCs w:val="32"/>
          <w:highlight w:val="none"/>
        </w:rPr>
      </w:pPr>
      <w:r>
        <w:rPr>
          <w:rFonts w:hint="eastAsia" w:ascii="宋体" w:hAnsi="宋体" w:eastAsia="宋体" w:cs="宋体"/>
          <w:b/>
          <w:bCs/>
          <w:kern w:val="0"/>
          <w:szCs w:val="32"/>
          <w:highlight w:val="none"/>
        </w:rPr>
        <w:t>第二章 投标人须知</w:t>
      </w:r>
    </w:p>
    <w:p>
      <w:pPr>
        <w:widowControl/>
        <w:spacing w:line="400" w:lineRule="exact"/>
        <w:jc w:val="center"/>
        <w:outlineLvl w:val="1"/>
        <w:rPr>
          <w:rFonts w:ascii="宋体" w:hAnsi="宋体" w:eastAsia="宋体" w:cs="宋体"/>
          <w:b/>
          <w:sz w:val="24"/>
          <w:highlight w:val="none"/>
        </w:rPr>
      </w:pPr>
      <w:r>
        <w:rPr>
          <w:rFonts w:hint="eastAsia" w:ascii="宋体" w:hAnsi="宋体" w:eastAsia="宋体" w:cs="宋体"/>
          <w:b/>
          <w:bCs/>
          <w:kern w:val="0"/>
          <w:sz w:val="24"/>
          <w:highlight w:val="none"/>
        </w:rPr>
        <w:t>投标人须知</w:t>
      </w:r>
      <w:r>
        <w:rPr>
          <w:rFonts w:hint="eastAsia" w:ascii="宋体" w:hAnsi="宋体" w:eastAsia="宋体" w:cs="宋体"/>
          <w:b/>
          <w:sz w:val="24"/>
          <w:highlight w:val="none"/>
        </w:rPr>
        <w:t>前附表</w:t>
      </w:r>
    </w:p>
    <w:tbl>
      <w:tblPr>
        <w:tblStyle w:val="25"/>
        <w:tblW w:w="93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911"/>
        <w:gridCol w:w="6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02" w:type="dxa"/>
            <w:tcBorders>
              <w:top w:val="single" w:color="auto" w:sz="12" w:space="0"/>
            </w:tcBorders>
            <w:vAlign w:val="center"/>
          </w:tcPr>
          <w:p>
            <w:pPr>
              <w:autoSpaceDE w:val="0"/>
              <w:autoSpaceDN w:val="0"/>
              <w:adjustRightInd w:val="0"/>
              <w:snapToGrid w:val="0"/>
              <w:spacing w:line="400" w:lineRule="exact"/>
              <w:jc w:val="center"/>
              <w:rPr>
                <w:rFonts w:ascii="宋体" w:hAnsi="宋体" w:eastAsia="宋体" w:cs="宋体"/>
                <w:b/>
                <w:snapToGrid w:val="0"/>
                <w:kern w:val="0"/>
                <w:sz w:val="24"/>
                <w:highlight w:val="none"/>
              </w:rPr>
            </w:pPr>
            <w:r>
              <w:rPr>
                <w:rFonts w:hint="eastAsia" w:ascii="宋体" w:hAnsi="宋体" w:eastAsia="宋体" w:cs="宋体"/>
                <w:b/>
                <w:snapToGrid w:val="0"/>
                <w:kern w:val="0"/>
                <w:sz w:val="24"/>
                <w:highlight w:val="none"/>
              </w:rPr>
              <w:t>条款号</w:t>
            </w:r>
          </w:p>
        </w:tc>
        <w:tc>
          <w:tcPr>
            <w:tcW w:w="1911" w:type="dxa"/>
            <w:tcBorders>
              <w:top w:val="single" w:color="auto" w:sz="12" w:space="0"/>
            </w:tcBorders>
            <w:vAlign w:val="center"/>
          </w:tcPr>
          <w:p>
            <w:pPr>
              <w:autoSpaceDE w:val="0"/>
              <w:autoSpaceDN w:val="0"/>
              <w:adjustRightInd w:val="0"/>
              <w:snapToGrid w:val="0"/>
              <w:spacing w:line="400" w:lineRule="exact"/>
              <w:jc w:val="center"/>
              <w:rPr>
                <w:rFonts w:ascii="宋体" w:hAnsi="宋体" w:eastAsia="宋体" w:cs="宋体"/>
                <w:b/>
                <w:snapToGrid w:val="0"/>
                <w:kern w:val="0"/>
                <w:sz w:val="24"/>
                <w:highlight w:val="none"/>
              </w:rPr>
            </w:pPr>
            <w:r>
              <w:rPr>
                <w:rFonts w:hint="eastAsia" w:ascii="宋体" w:hAnsi="宋体" w:eastAsia="宋体" w:cs="宋体"/>
                <w:b/>
                <w:snapToGrid w:val="0"/>
                <w:kern w:val="0"/>
                <w:sz w:val="24"/>
                <w:highlight w:val="none"/>
              </w:rPr>
              <w:t>条 款 名 称</w:t>
            </w:r>
          </w:p>
        </w:tc>
        <w:tc>
          <w:tcPr>
            <w:tcW w:w="6428" w:type="dxa"/>
            <w:tcBorders>
              <w:top w:val="single" w:color="auto" w:sz="12" w:space="0"/>
            </w:tcBorders>
            <w:vAlign w:val="center"/>
          </w:tcPr>
          <w:p>
            <w:pPr>
              <w:autoSpaceDE w:val="0"/>
              <w:autoSpaceDN w:val="0"/>
              <w:adjustRightInd w:val="0"/>
              <w:snapToGrid w:val="0"/>
              <w:spacing w:line="400" w:lineRule="exact"/>
              <w:jc w:val="center"/>
              <w:rPr>
                <w:rFonts w:ascii="宋体" w:hAnsi="宋体" w:eastAsia="宋体" w:cs="宋体"/>
                <w:b/>
                <w:snapToGrid w:val="0"/>
                <w:kern w:val="0"/>
                <w:sz w:val="24"/>
                <w:highlight w:val="none"/>
              </w:rPr>
            </w:pPr>
            <w:r>
              <w:rPr>
                <w:rFonts w:hint="eastAsia" w:ascii="宋体" w:hAnsi="宋体" w:eastAsia="宋体" w:cs="宋体"/>
                <w:b/>
                <w:snapToGrid w:val="0"/>
                <w:kern w:val="0"/>
                <w:sz w:val="24"/>
                <w:highlight w:val="none"/>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招标组织形式</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z w:val="24"/>
                <w:szCs w:val="24"/>
                <w:highlight w:val="none"/>
                <w:lang w:val="zh-CN" w:eastAsia="zh-CN"/>
              </w:rPr>
              <w:t>本项目采用</w:t>
            </w:r>
            <w:r>
              <w:rPr>
                <w:rFonts w:hint="eastAsia"/>
                <w:snapToGrid w:val="0"/>
                <w:sz w:val="24"/>
                <w:szCs w:val="24"/>
                <w:highlight w:val="none"/>
                <w:lang w:eastAsia="zh-CN"/>
              </w:rPr>
              <w:sym w:font="Wingdings 2" w:char="0052"/>
            </w:r>
            <w:r>
              <w:rPr>
                <w:rFonts w:hint="eastAsia"/>
                <w:sz w:val="24"/>
                <w:szCs w:val="24"/>
                <w:highlight w:val="none"/>
                <w:u w:val="single"/>
                <w:lang w:val="zh-CN" w:eastAsia="zh-CN"/>
              </w:rPr>
              <w:t>委托招标</w:t>
            </w:r>
            <w:r>
              <w:rPr>
                <w:rFonts w:hint="eastAsia"/>
                <w:snapToGrid w:val="0"/>
                <w:sz w:val="24"/>
                <w:szCs w:val="24"/>
                <w:highlight w:val="none"/>
                <w:lang w:eastAsia="zh-CN"/>
              </w:rPr>
              <w:sym w:font="Wingdings 2" w:char="00A3"/>
            </w:r>
            <w:r>
              <w:rPr>
                <w:rFonts w:hint="eastAsia"/>
                <w:sz w:val="24"/>
                <w:szCs w:val="24"/>
                <w:highlight w:val="none"/>
                <w:u w:val="single"/>
                <w:lang w:eastAsia="zh-CN"/>
              </w:rPr>
              <w:t>自行招标人</w:t>
            </w:r>
            <w:r>
              <w:rPr>
                <w:rFonts w:hint="eastAsia"/>
                <w:sz w:val="24"/>
                <w:szCs w:val="24"/>
                <w:highlight w:val="none"/>
                <w:lang w:eastAsia="zh-CN"/>
              </w:rPr>
              <w:t>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1.1.3</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招标人</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名    称：</w:t>
            </w:r>
            <w:r>
              <w:rPr>
                <w:rFonts w:hint="eastAsia" w:ascii="宋体" w:hAnsi="宋体" w:eastAsia="宋体" w:cs="宋体"/>
                <w:snapToGrid w:val="0"/>
                <w:kern w:val="0"/>
                <w:sz w:val="24"/>
                <w:highlight w:val="none"/>
                <w:u w:val="single"/>
              </w:rPr>
              <w:tab/>
            </w:r>
            <w:r>
              <w:rPr>
                <w:rFonts w:hint="eastAsia" w:ascii="宋体" w:hAnsi="宋体" w:eastAsia="宋体" w:cs="宋体"/>
                <w:snapToGrid w:val="0"/>
                <w:kern w:val="0"/>
                <w:sz w:val="24"/>
                <w:highlight w:val="none"/>
                <w:u w:val="single"/>
              </w:rPr>
              <w:t>杭州临江环境能源有限公司</w:t>
            </w:r>
            <w:r>
              <w:rPr>
                <w:rFonts w:hint="eastAsia" w:ascii="宋体" w:hAnsi="宋体" w:eastAsia="宋体" w:cs="宋体"/>
                <w:snapToGrid w:val="0"/>
                <w:kern w:val="0"/>
                <w:sz w:val="24"/>
                <w:highlight w:val="none"/>
              </w:rPr>
              <w:t>。</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地    址：</w:t>
            </w:r>
            <w:r>
              <w:rPr>
                <w:rFonts w:hint="eastAsia" w:ascii="宋体" w:hAnsi="宋体" w:eastAsia="宋体" w:cs="宋体"/>
                <w:snapToGrid w:val="0"/>
                <w:kern w:val="0"/>
                <w:sz w:val="24"/>
                <w:highlight w:val="none"/>
              </w:rPr>
              <w:tab/>
            </w:r>
            <w:r>
              <w:rPr>
                <w:rFonts w:hint="eastAsia" w:ascii="宋体" w:hAnsi="宋体" w:eastAsia="宋体" w:cs="宋体"/>
                <w:snapToGrid w:val="0"/>
                <w:kern w:val="0"/>
                <w:sz w:val="24"/>
                <w:highlight w:val="none"/>
                <w:u w:val="single"/>
              </w:rPr>
              <w:t>浙江省杭州市钱塘区临江街道红十五路10388-123号</w:t>
            </w:r>
            <w:r>
              <w:rPr>
                <w:rFonts w:hint="eastAsia" w:ascii="宋体" w:hAnsi="宋体" w:eastAsia="宋体" w:cs="宋体"/>
                <w:snapToGrid w:val="0"/>
                <w:kern w:val="0"/>
                <w:sz w:val="24"/>
                <w:highlight w:val="none"/>
              </w:rPr>
              <w:t>。</w:t>
            </w:r>
          </w:p>
          <w:p>
            <w:pPr>
              <w:autoSpaceDE w:val="0"/>
              <w:autoSpaceDN w:val="0"/>
              <w:adjustRightInd w:val="0"/>
              <w:snapToGrid w:val="0"/>
              <w:spacing w:line="400" w:lineRule="exact"/>
              <w:rPr>
                <w:rFonts w:ascii="宋体" w:hAnsi="宋体" w:eastAsia="宋体" w:cs="宋体"/>
                <w:kern w:val="0"/>
                <w:sz w:val="24"/>
                <w:highlight w:val="none"/>
                <w:lang w:val="zh-CN"/>
              </w:rPr>
            </w:pPr>
            <w:r>
              <w:rPr>
                <w:rFonts w:hint="eastAsia" w:ascii="宋体" w:hAnsi="宋体" w:eastAsia="宋体" w:cs="宋体"/>
                <w:kern w:val="0"/>
                <w:sz w:val="24"/>
                <w:highlight w:val="none"/>
                <w:lang w:val="zh-CN"/>
              </w:rPr>
              <w:t>联 系 人：</w:t>
            </w:r>
            <w:r>
              <w:rPr>
                <w:rFonts w:hint="eastAsia" w:ascii="宋体" w:hAnsi="宋体" w:eastAsia="宋体" w:cs="宋体"/>
                <w:snapToGrid w:val="0"/>
                <w:kern w:val="0"/>
                <w:sz w:val="24"/>
                <w:highlight w:val="none"/>
                <w:u w:val="single"/>
              </w:rPr>
              <w:tab/>
            </w:r>
            <w:r>
              <w:rPr>
                <w:rFonts w:hint="eastAsia" w:ascii="宋体" w:hAnsi="宋体" w:eastAsia="宋体" w:cs="宋体"/>
                <w:snapToGrid w:val="0"/>
                <w:kern w:val="0"/>
                <w:sz w:val="24"/>
                <w:highlight w:val="none"/>
                <w:u w:val="single"/>
              </w:rPr>
              <w:t>华工</w:t>
            </w:r>
            <w:r>
              <w:rPr>
                <w:rFonts w:hint="eastAsia" w:ascii="宋体" w:hAnsi="宋体" w:eastAsia="宋体" w:cs="宋体"/>
                <w:snapToGrid w:val="0"/>
                <w:kern w:val="0"/>
                <w:sz w:val="24"/>
                <w:highlight w:val="none"/>
              </w:rPr>
              <w:t>。</w:t>
            </w:r>
          </w:p>
          <w:p>
            <w:pPr>
              <w:pStyle w:val="46"/>
              <w:snapToGrid w:val="0"/>
              <w:spacing w:line="400" w:lineRule="exact"/>
              <w:ind w:right="64" w:rightChars="20"/>
              <w:jc w:val="both"/>
              <w:rPr>
                <w:snapToGrid w:val="0"/>
                <w:sz w:val="24"/>
                <w:szCs w:val="24"/>
                <w:highlight w:val="none"/>
                <w:lang w:eastAsia="zh-CN"/>
              </w:rPr>
            </w:pPr>
            <w:r>
              <w:rPr>
                <w:rFonts w:hint="eastAsia"/>
                <w:sz w:val="24"/>
                <w:szCs w:val="24"/>
                <w:highlight w:val="none"/>
                <w:lang w:val="zh-CN" w:eastAsia="zh-CN"/>
              </w:rPr>
              <w:t>联系电话：</w:t>
            </w:r>
            <w:r>
              <w:rPr>
                <w:rFonts w:hint="eastAsia"/>
                <w:snapToGrid w:val="0"/>
                <w:sz w:val="24"/>
                <w:szCs w:val="24"/>
                <w:highlight w:val="none"/>
                <w:u w:val="single"/>
                <w:lang w:eastAsia="zh-CN"/>
              </w:rPr>
              <w:t xml:space="preserve"> 0571-81997921 </w:t>
            </w:r>
            <w:r>
              <w:rPr>
                <w:rFonts w:hint="eastAsia"/>
                <w:snapToGrid w:val="0"/>
                <w:sz w:val="24"/>
                <w:szCs w:val="24"/>
                <w:highlight w:val="none"/>
                <w:lang w:eastAsia="zh-CN"/>
              </w:rPr>
              <w:t>。</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邮    箱：</w:t>
            </w:r>
            <w:r>
              <w:rPr>
                <w:rFonts w:hint="eastAsia" w:cs="仿宋" w:asciiTheme="minorEastAsia" w:hAnsiTheme="minorEastAsia"/>
                <w:sz w:val="24"/>
                <w:highlight w:val="none"/>
                <w:u w:val="single"/>
                <w:lang w:eastAsia="zh-CN"/>
              </w:rPr>
              <w:t>LJGS_CG@163.com</w:t>
            </w:r>
            <w:r>
              <w:rPr>
                <w:rFonts w:hint="eastAsia"/>
                <w:snapToGrid w:val="0"/>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1.1.4</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 xml:space="preserve"> 采购人（集采分签项目适用）</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名    称：</w:t>
            </w:r>
            <w:r>
              <w:rPr>
                <w:rFonts w:hint="eastAsia" w:ascii="宋体" w:hAnsi="宋体" w:eastAsia="宋体" w:cs="宋体"/>
                <w:snapToGrid w:val="0"/>
                <w:kern w:val="0"/>
                <w:sz w:val="24"/>
                <w:highlight w:val="none"/>
                <w:u w:val="single"/>
              </w:rPr>
              <w:tab/>
            </w:r>
            <w:r>
              <w:rPr>
                <w:rFonts w:hint="eastAsia" w:ascii="宋体" w:hAnsi="宋体" w:eastAsia="宋体" w:cs="宋体"/>
                <w:snapToGrid w:val="0"/>
                <w:kern w:val="0"/>
                <w:sz w:val="24"/>
                <w:highlight w:val="none"/>
                <w:u w:val="single"/>
              </w:rPr>
              <w:t xml:space="preserve">  /   </w:t>
            </w:r>
            <w:r>
              <w:rPr>
                <w:rFonts w:hint="eastAsia" w:ascii="宋体" w:hAnsi="宋体" w:eastAsia="宋体" w:cs="宋体"/>
                <w:snapToGrid w:val="0"/>
                <w:kern w:val="0"/>
                <w:sz w:val="24"/>
                <w:highlight w:val="none"/>
              </w:rPr>
              <w:t>。</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地    址：</w:t>
            </w:r>
            <w:r>
              <w:rPr>
                <w:rFonts w:hint="eastAsia" w:ascii="宋体" w:hAnsi="宋体" w:eastAsia="宋体" w:cs="宋体"/>
                <w:snapToGrid w:val="0"/>
                <w:kern w:val="0"/>
                <w:sz w:val="24"/>
                <w:highlight w:val="none"/>
                <w:u w:val="single"/>
              </w:rPr>
              <w:tab/>
            </w:r>
            <w:r>
              <w:rPr>
                <w:rFonts w:hint="eastAsia" w:ascii="宋体" w:hAnsi="宋体" w:eastAsia="宋体" w:cs="宋体"/>
                <w:snapToGrid w:val="0"/>
                <w:kern w:val="0"/>
                <w:sz w:val="24"/>
                <w:highlight w:val="none"/>
                <w:u w:val="single"/>
              </w:rPr>
              <w:t xml:space="preserve">  /   </w:t>
            </w:r>
            <w:r>
              <w:rPr>
                <w:rFonts w:hint="eastAsia" w:ascii="宋体" w:hAnsi="宋体" w:eastAsia="宋体" w:cs="宋体"/>
                <w:snapToGrid w:val="0"/>
                <w:kern w:val="0"/>
                <w:sz w:val="24"/>
                <w:highlight w:val="none"/>
              </w:rPr>
              <w:t>。</w:t>
            </w:r>
          </w:p>
          <w:p>
            <w:pPr>
              <w:autoSpaceDE w:val="0"/>
              <w:autoSpaceDN w:val="0"/>
              <w:adjustRightInd w:val="0"/>
              <w:snapToGrid w:val="0"/>
              <w:spacing w:line="400" w:lineRule="exact"/>
              <w:rPr>
                <w:rFonts w:ascii="宋体" w:hAnsi="宋体" w:eastAsia="宋体" w:cs="宋体"/>
                <w:kern w:val="0"/>
                <w:sz w:val="24"/>
                <w:highlight w:val="none"/>
                <w:lang w:val="zh-CN"/>
              </w:rPr>
            </w:pPr>
            <w:r>
              <w:rPr>
                <w:rFonts w:hint="eastAsia" w:ascii="宋体" w:hAnsi="宋体" w:eastAsia="宋体" w:cs="宋体"/>
                <w:kern w:val="0"/>
                <w:sz w:val="24"/>
                <w:highlight w:val="none"/>
                <w:lang w:val="zh-CN"/>
              </w:rPr>
              <w:t>联 系 人：</w:t>
            </w:r>
            <w:r>
              <w:rPr>
                <w:rFonts w:hint="eastAsia" w:ascii="宋体" w:hAnsi="宋体" w:eastAsia="宋体" w:cs="宋体"/>
                <w:snapToGrid w:val="0"/>
                <w:kern w:val="0"/>
                <w:sz w:val="24"/>
                <w:highlight w:val="none"/>
                <w:u w:val="single"/>
              </w:rPr>
              <w:tab/>
            </w:r>
            <w:r>
              <w:rPr>
                <w:rFonts w:hint="eastAsia" w:ascii="宋体" w:hAnsi="宋体" w:eastAsia="宋体" w:cs="宋体"/>
                <w:snapToGrid w:val="0"/>
                <w:kern w:val="0"/>
                <w:sz w:val="24"/>
                <w:highlight w:val="none"/>
                <w:u w:val="single"/>
              </w:rPr>
              <w:t xml:space="preserve">  /   </w:t>
            </w:r>
            <w:r>
              <w:rPr>
                <w:rFonts w:hint="eastAsia" w:ascii="宋体" w:hAnsi="宋体" w:eastAsia="宋体" w:cs="宋体"/>
                <w:snapToGrid w:val="0"/>
                <w:kern w:val="0"/>
                <w:sz w:val="24"/>
                <w:highlight w:val="none"/>
              </w:rPr>
              <w:t>。</w:t>
            </w:r>
          </w:p>
          <w:p>
            <w:pPr>
              <w:pStyle w:val="46"/>
              <w:snapToGrid w:val="0"/>
              <w:spacing w:line="400" w:lineRule="exact"/>
              <w:ind w:right="64" w:rightChars="20"/>
              <w:jc w:val="both"/>
              <w:rPr>
                <w:snapToGrid w:val="0"/>
                <w:sz w:val="24"/>
                <w:szCs w:val="24"/>
                <w:highlight w:val="none"/>
                <w:lang w:eastAsia="zh-CN"/>
              </w:rPr>
            </w:pPr>
            <w:r>
              <w:rPr>
                <w:rFonts w:hint="eastAsia"/>
                <w:sz w:val="24"/>
                <w:szCs w:val="24"/>
                <w:highlight w:val="none"/>
                <w:lang w:val="zh-CN" w:eastAsia="zh-CN"/>
              </w:rPr>
              <w:t>联系电话：</w:t>
            </w:r>
            <w:r>
              <w:rPr>
                <w:rFonts w:hint="eastAsia"/>
                <w:snapToGrid w:val="0"/>
                <w:sz w:val="24"/>
                <w:szCs w:val="24"/>
                <w:highlight w:val="none"/>
                <w:u w:val="single"/>
                <w:lang w:eastAsia="zh-CN"/>
              </w:rPr>
              <w:tab/>
            </w:r>
            <w:r>
              <w:rPr>
                <w:rFonts w:hint="eastAsia"/>
                <w:snapToGrid w:val="0"/>
                <w:sz w:val="24"/>
                <w:szCs w:val="24"/>
                <w:highlight w:val="none"/>
                <w:u w:val="single"/>
                <w:lang w:eastAsia="zh-CN"/>
              </w:rPr>
              <w:t xml:space="preserve">  /   </w:t>
            </w:r>
            <w:r>
              <w:rPr>
                <w:rFonts w:hint="eastAsia"/>
                <w:snapToGrid w:val="0"/>
                <w:sz w:val="24"/>
                <w:szCs w:val="24"/>
                <w:highlight w:val="none"/>
                <w:lang w:eastAsia="zh-CN"/>
              </w:rPr>
              <w:t>。</w:t>
            </w:r>
          </w:p>
          <w:p>
            <w:pPr>
              <w:snapToGrid w:val="0"/>
              <w:spacing w:line="400" w:lineRule="exact"/>
              <w:ind w:right="64" w:rightChars="20"/>
              <w:rPr>
                <w:rFonts w:ascii="宋体" w:hAnsi="宋体" w:eastAsia="宋体" w:cs="宋体"/>
                <w:snapToGrid w:val="0"/>
                <w:sz w:val="24"/>
                <w:highlight w:val="none"/>
              </w:rPr>
            </w:pPr>
            <w:r>
              <w:rPr>
                <w:rFonts w:hint="eastAsia" w:ascii="宋体" w:hAnsi="宋体" w:eastAsia="宋体" w:cs="宋体"/>
                <w:snapToGrid w:val="0"/>
                <w:sz w:val="24"/>
                <w:highlight w:val="none"/>
              </w:rPr>
              <w:t>邮    箱：</w:t>
            </w:r>
            <w:r>
              <w:rPr>
                <w:rFonts w:hint="eastAsia" w:ascii="宋体" w:hAnsi="宋体" w:eastAsia="宋体" w:cs="宋体"/>
                <w:snapToGrid w:val="0"/>
                <w:kern w:val="0"/>
                <w:sz w:val="24"/>
                <w:highlight w:val="none"/>
                <w:u w:val="single"/>
              </w:rPr>
              <w:tab/>
            </w:r>
            <w:r>
              <w:rPr>
                <w:rFonts w:hint="eastAsia" w:ascii="宋体" w:hAnsi="宋体" w:eastAsia="宋体" w:cs="宋体"/>
                <w:snapToGrid w:val="0"/>
                <w:kern w:val="0"/>
                <w:sz w:val="24"/>
                <w:highlight w:val="none"/>
                <w:u w:val="single"/>
              </w:rPr>
              <w:t xml:space="preserve">  /   </w:t>
            </w:r>
            <w:r>
              <w:rPr>
                <w:rFonts w:hint="eastAsia" w:ascii="宋体" w:hAnsi="宋体" w:eastAsia="宋体" w:cs="宋体"/>
                <w:snapToGrid w:val="0"/>
                <w:kern w:val="0"/>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1.1.5</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招标代理机构</w:t>
            </w:r>
          </w:p>
        </w:tc>
        <w:tc>
          <w:tcPr>
            <w:tcW w:w="6428" w:type="dxa"/>
            <w:vAlign w:val="center"/>
          </w:tcPr>
          <w:p>
            <w:pPr>
              <w:autoSpaceDE w:val="0"/>
              <w:autoSpaceDN w:val="0"/>
              <w:adjustRightInd w:val="0"/>
              <w:snapToGrid w:val="0"/>
              <w:spacing w:line="400" w:lineRule="exact"/>
              <w:rPr>
                <w:rFonts w:ascii="宋体" w:hAnsi="宋体" w:eastAsia="宋体" w:cs="宋体"/>
                <w:snapToGrid w:val="0"/>
                <w:sz w:val="24"/>
                <w:highlight w:val="none"/>
              </w:rPr>
            </w:pPr>
            <w:r>
              <w:rPr>
                <w:rFonts w:hint="eastAsia" w:ascii="宋体" w:hAnsi="宋体" w:eastAsia="宋体" w:cs="宋体"/>
                <w:snapToGrid w:val="0"/>
                <w:kern w:val="0"/>
                <w:sz w:val="24"/>
                <w:highlight w:val="none"/>
              </w:rPr>
              <w:t>名    称：</w:t>
            </w:r>
            <w:r>
              <w:rPr>
                <w:rFonts w:hint="eastAsia" w:ascii="宋体" w:hAnsi="宋体" w:eastAsia="宋体" w:cs="宋体"/>
                <w:sz w:val="24"/>
                <w:highlight w:val="none"/>
                <w:u w:val="single"/>
              </w:rPr>
              <w:t>杭州建设工程造价咨询有限公司</w:t>
            </w:r>
            <w:r>
              <w:rPr>
                <w:rFonts w:hint="eastAsia" w:ascii="宋体" w:hAnsi="宋体" w:eastAsia="宋体" w:cs="宋体"/>
                <w:snapToGrid w:val="0"/>
                <w:kern w:val="0"/>
                <w:sz w:val="24"/>
                <w:highlight w:val="none"/>
              </w:rPr>
              <w:t>。</w:t>
            </w:r>
          </w:p>
          <w:p>
            <w:pPr>
              <w:pStyle w:val="46"/>
              <w:snapToGrid w:val="0"/>
              <w:spacing w:line="400" w:lineRule="exact"/>
              <w:ind w:right="64" w:rightChars="20"/>
              <w:jc w:val="both"/>
              <w:rPr>
                <w:snapToGrid w:val="0"/>
                <w:sz w:val="24"/>
                <w:szCs w:val="24"/>
                <w:highlight w:val="none"/>
                <w:u w:val="single"/>
                <w:lang w:eastAsia="zh-CN"/>
              </w:rPr>
            </w:pPr>
            <w:r>
              <w:rPr>
                <w:rFonts w:hint="eastAsia"/>
                <w:snapToGrid w:val="0"/>
                <w:sz w:val="24"/>
                <w:szCs w:val="24"/>
                <w:highlight w:val="none"/>
                <w:lang w:eastAsia="zh-CN"/>
              </w:rPr>
              <w:t>地    址：</w:t>
            </w:r>
            <w:r>
              <w:rPr>
                <w:rFonts w:hint="eastAsia"/>
                <w:snapToGrid w:val="0"/>
                <w:sz w:val="24"/>
                <w:szCs w:val="24"/>
                <w:highlight w:val="none"/>
                <w:u w:val="single"/>
                <w:lang w:eastAsia="zh-CN"/>
              </w:rPr>
              <w:t>杭州市萧山区民和路481号联合中心北区D座4楼代理部2</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联 系 人：</w:t>
            </w:r>
            <w:r>
              <w:rPr>
                <w:rFonts w:hint="eastAsia"/>
                <w:snapToGrid w:val="0"/>
                <w:sz w:val="24"/>
                <w:szCs w:val="24"/>
                <w:highlight w:val="none"/>
                <w:u w:val="single"/>
                <w:lang w:eastAsia="zh-CN"/>
              </w:rPr>
              <w:t>李月园/周婉卿/刘凯威</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电    话：</w:t>
            </w:r>
            <w:r>
              <w:rPr>
                <w:rFonts w:hint="eastAsia"/>
                <w:snapToGrid w:val="0"/>
                <w:sz w:val="24"/>
                <w:szCs w:val="24"/>
                <w:highlight w:val="none"/>
                <w:u w:val="single"/>
                <w:lang w:eastAsia="zh-CN"/>
              </w:rPr>
              <w:t>17681859928/13666671903</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电子邮件：</w:t>
            </w:r>
            <w:r>
              <w:rPr>
                <w:rFonts w:hint="eastAsia"/>
                <w:snapToGrid w:val="0"/>
                <w:sz w:val="24"/>
                <w:szCs w:val="24"/>
                <w:highlight w:val="none"/>
                <w:u w:val="single"/>
                <w:lang w:eastAsia="zh-CN"/>
              </w:rPr>
              <w:t>61540061@qq.com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1.1.6</w:t>
            </w:r>
          </w:p>
        </w:tc>
        <w:tc>
          <w:tcPr>
            <w:tcW w:w="1911"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项目概况</w:t>
            </w:r>
          </w:p>
        </w:tc>
        <w:tc>
          <w:tcPr>
            <w:tcW w:w="6428" w:type="dxa"/>
            <w:vAlign w:val="center"/>
          </w:tcPr>
          <w:p>
            <w:pPr>
              <w:pStyle w:val="21"/>
              <w:adjustRightInd w:val="0"/>
              <w:snapToGrid w:val="0"/>
              <w:spacing w:before="0" w:beforeAutospacing="0" w:after="0" w:afterAutospacing="0" w:line="400" w:lineRule="exact"/>
              <w:rPr>
                <w:rFonts w:cs="宋体"/>
                <w:b/>
                <w:bCs/>
                <w:highlight w:val="none"/>
              </w:rPr>
            </w:pPr>
            <w:r>
              <w:rPr>
                <w:rFonts w:hint="eastAsia" w:cs="宋体"/>
                <w:snapToGrid w:val="0"/>
                <w:highlight w:val="none"/>
              </w:rPr>
              <w:t>招标编号：</w:t>
            </w:r>
            <w:r>
              <w:rPr>
                <w:rFonts w:hint="eastAsia" w:cs="宋体"/>
                <w:snapToGrid w:val="0"/>
                <w:highlight w:val="none"/>
                <w:u w:val="single"/>
              </w:rPr>
              <w:t>NY-1FZB2410089</w:t>
            </w:r>
            <w:r>
              <w:rPr>
                <w:rFonts w:hint="eastAsia" w:cs="宋体"/>
                <w:snapToGrid w:val="0"/>
                <w:highlight w:val="none"/>
              </w:rPr>
              <w:t>。</w:t>
            </w:r>
          </w:p>
          <w:p>
            <w:pPr>
              <w:pStyle w:val="46"/>
              <w:snapToGrid w:val="0"/>
              <w:spacing w:line="400" w:lineRule="exact"/>
              <w:ind w:right="64" w:rightChars="20"/>
              <w:jc w:val="both"/>
              <w:rPr>
                <w:sz w:val="24"/>
                <w:szCs w:val="24"/>
                <w:highlight w:val="none"/>
                <w:lang w:eastAsia="zh-CN"/>
              </w:rPr>
            </w:pPr>
            <w:r>
              <w:rPr>
                <w:rFonts w:hint="eastAsia"/>
                <w:snapToGrid w:val="0"/>
                <w:sz w:val="24"/>
                <w:szCs w:val="24"/>
                <w:highlight w:val="none"/>
                <w:lang w:eastAsia="zh-CN"/>
              </w:rPr>
              <w:t>项目名称：</w:t>
            </w:r>
            <w:r>
              <w:rPr>
                <w:rFonts w:hint="eastAsia"/>
                <w:sz w:val="24"/>
                <w:szCs w:val="24"/>
                <w:highlight w:val="none"/>
                <w:u w:val="single"/>
                <w:lang w:val="zh-CN" w:eastAsia="zh-CN"/>
              </w:rPr>
              <w:t>2024-2026年度起重设备及抓斗维保采购项目</w:t>
            </w:r>
            <w:r>
              <w:rPr>
                <w:rFonts w:hint="eastAsia"/>
                <w:snapToGrid w:val="0"/>
                <w:sz w:val="24"/>
                <w:szCs w:val="24"/>
                <w:highlight w:val="none"/>
                <w:lang w:eastAsia="zh-CN"/>
              </w:rPr>
              <w:t>。</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项目地点：</w:t>
            </w:r>
            <w:r>
              <w:rPr>
                <w:rFonts w:hint="eastAsia"/>
                <w:sz w:val="24"/>
                <w:szCs w:val="24"/>
                <w:highlight w:val="none"/>
                <w:u w:val="single"/>
                <w:lang w:val="zh-CN" w:eastAsia="zh-CN"/>
              </w:rPr>
              <w:t>杭州市钱塘区临江街道临江循环经济产业园内</w:t>
            </w:r>
            <w:r>
              <w:rPr>
                <w:rFonts w:hint="eastAsia"/>
                <w:snapToGrid w:val="0"/>
                <w:sz w:val="24"/>
                <w:szCs w:val="24"/>
                <w:highlight w:val="none"/>
                <w:lang w:eastAsia="zh-CN"/>
              </w:rPr>
              <w:t>。</w:t>
            </w:r>
          </w:p>
          <w:p>
            <w:pPr>
              <w:pStyle w:val="46"/>
              <w:snapToGrid w:val="0"/>
              <w:spacing w:line="400" w:lineRule="exact"/>
              <w:ind w:right="64" w:rightChars="20"/>
              <w:jc w:val="both"/>
              <w:rPr>
                <w:sz w:val="24"/>
                <w:szCs w:val="24"/>
                <w:highlight w:val="none"/>
                <w:u w:val="single"/>
                <w:lang w:eastAsia="zh-CN"/>
              </w:rPr>
            </w:pPr>
            <w:r>
              <w:rPr>
                <w:rFonts w:hint="eastAsia"/>
                <w:sz w:val="24"/>
                <w:szCs w:val="24"/>
                <w:highlight w:val="none"/>
                <w:lang w:eastAsia="zh-CN"/>
              </w:rPr>
              <w:t>项目本期概算：</w:t>
            </w:r>
            <w:r>
              <w:rPr>
                <w:rFonts w:hint="eastAsia"/>
                <w:sz w:val="24"/>
                <w:szCs w:val="24"/>
                <w:highlight w:val="none"/>
                <w:u w:val="single"/>
                <w:lang w:eastAsia="zh-CN"/>
              </w:rPr>
              <w:t xml:space="preserve"> /</w:t>
            </w:r>
            <w:r>
              <w:rPr>
                <w:rFonts w:hint="eastAsia"/>
                <w:sz w:val="24"/>
                <w:szCs w:val="24"/>
                <w:highlight w:val="none"/>
                <w:lang w:eastAsia="zh-CN"/>
              </w:rPr>
              <w:t>；</w:t>
            </w:r>
          </w:p>
          <w:p>
            <w:pPr>
              <w:pStyle w:val="46"/>
              <w:snapToGrid w:val="0"/>
              <w:spacing w:line="400" w:lineRule="exact"/>
              <w:ind w:right="64" w:rightChars="20"/>
              <w:jc w:val="both"/>
              <w:rPr>
                <w:sz w:val="24"/>
                <w:szCs w:val="24"/>
                <w:highlight w:val="none"/>
                <w:u w:val="single"/>
                <w:lang w:eastAsia="zh-CN"/>
              </w:rPr>
            </w:pPr>
            <w:r>
              <w:rPr>
                <w:rFonts w:hint="eastAsia"/>
                <w:sz w:val="24"/>
                <w:szCs w:val="24"/>
                <w:highlight w:val="none"/>
                <w:u w:val="single"/>
                <w:lang w:eastAsia="zh-CN"/>
              </w:rPr>
              <w:t>最高限价</w:t>
            </w:r>
            <w:r>
              <w:rPr>
                <w:rFonts w:hint="eastAsia"/>
                <w:b/>
                <w:bCs/>
                <w:color w:val="000000" w:themeColor="text1"/>
                <w:sz w:val="24"/>
                <w:szCs w:val="24"/>
                <w:highlight w:val="none"/>
                <w:u w:val="single"/>
                <w:lang w:eastAsia="zh-CN"/>
                <w14:textFill>
                  <w14:solidFill>
                    <w14:schemeClr w14:val="tx1"/>
                  </w14:solidFill>
                </w14:textFill>
              </w:rPr>
              <w:t>（</w:t>
            </w:r>
            <w:r>
              <w:rPr>
                <w:rFonts w:hint="eastAsia"/>
                <w:b/>
                <w:bCs/>
                <w:snapToGrid w:val="0"/>
                <w:kern w:val="2"/>
                <w:sz w:val="24"/>
                <w:szCs w:val="24"/>
                <w:highlight w:val="none"/>
                <w:u w:val="single"/>
                <w:lang w:eastAsia="zh-CN"/>
              </w:rPr>
              <w:t>277</w:t>
            </w:r>
            <w:r>
              <w:rPr>
                <w:rFonts w:hint="eastAsia"/>
                <w:b/>
                <w:bCs/>
                <w:snapToGrid w:val="0"/>
                <w:kern w:val="2"/>
                <w:sz w:val="24"/>
                <w:szCs w:val="24"/>
                <w:highlight w:val="none"/>
                <w:u w:val="single"/>
                <w:lang w:val="zh-CN" w:eastAsia="zh-CN"/>
              </w:rPr>
              <w:t>万元，含税</w:t>
            </w:r>
            <w:r>
              <w:rPr>
                <w:rFonts w:hint="eastAsia"/>
                <w:sz w:val="24"/>
                <w:szCs w:val="24"/>
                <w:highlight w:val="none"/>
                <w:u w:val="single"/>
                <w:lang w:eastAsia="zh-CN"/>
              </w:rPr>
              <w:t>）</w:t>
            </w:r>
            <w:r>
              <w:rPr>
                <w:rFonts w:hint="eastAsia"/>
                <w:b/>
                <w:bCs/>
                <w:snapToGrid w:val="0"/>
                <w:kern w:val="2"/>
                <w:sz w:val="24"/>
                <w:szCs w:val="24"/>
                <w:highlight w:val="none"/>
                <w:u w:val="single"/>
                <w:lang w:val="zh-CN" w:eastAsia="zh-CN"/>
              </w:rPr>
              <w:t>投标人的投标报价超过最高限价的，将作无效标处理</w:t>
            </w:r>
            <w:r>
              <w:rPr>
                <w:rFonts w:hint="eastAsia"/>
                <w:sz w:val="24"/>
                <w:szCs w:val="24"/>
                <w:highlight w:val="none"/>
                <w:lang w:eastAsia="zh-CN"/>
              </w:rPr>
              <w:t>。</w:t>
            </w:r>
          </w:p>
          <w:p>
            <w:pPr>
              <w:spacing w:line="400" w:lineRule="exact"/>
              <w:rPr>
                <w:rFonts w:ascii="宋体" w:hAnsi="宋体" w:eastAsia="宋体" w:cs="宋体"/>
                <w:snapToGrid w:val="0"/>
                <w:sz w:val="24"/>
                <w:highlight w:val="none"/>
              </w:rPr>
            </w:pPr>
            <w:r>
              <w:rPr>
                <w:rFonts w:hint="eastAsia" w:ascii="宋体" w:hAnsi="宋体" w:eastAsia="宋体" w:cs="宋体"/>
                <w:sz w:val="24"/>
                <w:highlight w:val="none"/>
              </w:rPr>
              <w:t>招标人式：</w:t>
            </w:r>
            <w:r>
              <w:rPr>
                <w:rFonts w:hint="eastAsia" w:ascii="宋体" w:hAnsi="宋体" w:eastAsia="宋体" w:cs="宋体"/>
                <w:sz w:val="24"/>
                <w:highlight w:val="none"/>
                <w:u w:val="single"/>
              </w:rPr>
              <w:t>公开招标</w:t>
            </w:r>
            <w:r>
              <w:rPr>
                <w:rFonts w:hint="eastAsia" w:ascii="宋体" w:hAnsi="宋体" w:eastAsia="宋体" w:cs="宋体"/>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1.2.1</w:t>
            </w:r>
          </w:p>
        </w:tc>
        <w:tc>
          <w:tcPr>
            <w:tcW w:w="1911" w:type="dxa"/>
            <w:vAlign w:val="center"/>
          </w:tcPr>
          <w:p>
            <w:pPr>
              <w:pStyle w:val="46"/>
              <w:adjustRightInd w:val="0"/>
              <w:snapToGrid w:val="0"/>
              <w:spacing w:line="400" w:lineRule="exact"/>
              <w:jc w:val="center"/>
              <w:rPr>
                <w:snapToGrid w:val="0"/>
                <w:sz w:val="24"/>
                <w:szCs w:val="24"/>
                <w:highlight w:val="none"/>
              </w:rPr>
            </w:pPr>
            <w:r>
              <w:rPr>
                <w:rFonts w:hint="eastAsia"/>
                <w:snapToGrid w:val="0"/>
                <w:sz w:val="24"/>
                <w:szCs w:val="24"/>
                <w:highlight w:val="none"/>
              </w:rPr>
              <w:t>资金来源</w:t>
            </w:r>
          </w:p>
          <w:p>
            <w:pPr>
              <w:pStyle w:val="46"/>
              <w:adjustRightInd w:val="0"/>
              <w:snapToGrid w:val="0"/>
              <w:spacing w:line="400" w:lineRule="exact"/>
              <w:jc w:val="center"/>
              <w:rPr>
                <w:snapToGrid w:val="0"/>
                <w:sz w:val="24"/>
                <w:szCs w:val="24"/>
                <w:highlight w:val="none"/>
              </w:rPr>
            </w:pPr>
            <w:r>
              <w:rPr>
                <w:rFonts w:hint="eastAsia"/>
                <w:snapToGrid w:val="0"/>
                <w:sz w:val="24"/>
                <w:szCs w:val="24"/>
                <w:highlight w:val="none"/>
              </w:rPr>
              <w:t>及</w:t>
            </w:r>
            <w:r>
              <w:rPr>
                <w:rFonts w:hint="eastAsia"/>
                <w:snapToGrid w:val="0"/>
                <w:sz w:val="24"/>
                <w:szCs w:val="24"/>
                <w:highlight w:val="none"/>
                <w:lang w:eastAsia="zh-CN"/>
              </w:rPr>
              <w:t>落实情况</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已落实，自筹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1.3.1</w:t>
            </w:r>
          </w:p>
        </w:tc>
        <w:tc>
          <w:tcPr>
            <w:tcW w:w="1911"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rPr>
              <w:t>招标范围</w:t>
            </w:r>
            <w:r>
              <w:rPr>
                <w:rFonts w:hint="eastAsia"/>
                <w:snapToGrid w:val="0"/>
                <w:sz w:val="24"/>
                <w:szCs w:val="24"/>
                <w:highlight w:val="none"/>
                <w:lang w:eastAsia="zh-CN"/>
              </w:rPr>
              <w:t>及内容</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rPr>
              <w:t>1.4.1</w:t>
            </w:r>
          </w:p>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1.4.2</w:t>
            </w:r>
          </w:p>
        </w:tc>
        <w:tc>
          <w:tcPr>
            <w:tcW w:w="1911"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投标人资格审查方式、资格条件</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投标人资格审查方式：资格后审</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投标人资格条件见招标公告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rPr>
              <w:t>1.</w:t>
            </w:r>
            <w:r>
              <w:rPr>
                <w:rFonts w:hint="eastAsia"/>
                <w:snapToGrid w:val="0"/>
                <w:sz w:val="24"/>
                <w:szCs w:val="24"/>
                <w:highlight w:val="none"/>
                <w:lang w:eastAsia="zh-CN"/>
              </w:rPr>
              <w:t>5</w:t>
            </w:r>
            <w:r>
              <w:rPr>
                <w:rFonts w:hint="eastAsia"/>
                <w:snapToGrid w:val="0"/>
                <w:sz w:val="24"/>
                <w:szCs w:val="24"/>
                <w:highlight w:val="none"/>
              </w:rPr>
              <w:t>.</w:t>
            </w:r>
            <w:r>
              <w:rPr>
                <w:rFonts w:hint="eastAsia"/>
                <w:snapToGrid w:val="0"/>
                <w:sz w:val="24"/>
                <w:szCs w:val="24"/>
                <w:highlight w:val="none"/>
                <w:lang w:eastAsia="zh-CN"/>
              </w:rPr>
              <w:t>1</w:t>
            </w:r>
          </w:p>
        </w:tc>
        <w:tc>
          <w:tcPr>
            <w:tcW w:w="1911"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rPr>
              <w:t>联合体投标</w:t>
            </w:r>
            <w:r>
              <w:rPr>
                <w:rFonts w:hint="eastAsia"/>
                <w:snapToGrid w:val="0"/>
                <w:sz w:val="24"/>
                <w:szCs w:val="24"/>
                <w:highlight w:val="none"/>
                <w:lang w:eastAsia="zh-CN"/>
              </w:rPr>
              <w:t>要求</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ascii="Segoe UI Emoji" w:hAnsi="Segoe UI Emoji" w:cs="Segoe UI Emoji"/>
                <w:snapToGrid w:val="0"/>
                <w:sz w:val="24"/>
                <w:szCs w:val="24"/>
                <w:highlight w:val="none"/>
                <w:lang w:eastAsia="zh-CN"/>
              </w:rPr>
              <w:t>☑</w:t>
            </w:r>
            <w:r>
              <w:rPr>
                <w:rFonts w:hint="eastAsia"/>
                <w:snapToGrid w:val="0"/>
                <w:sz w:val="24"/>
                <w:szCs w:val="24"/>
                <w:highlight w:val="none"/>
                <w:lang w:eastAsia="zh-CN"/>
              </w:rPr>
              <w:t>不接受</w:t>
            </w:r>
          </w:p>
          <w:p>
            <w:pPr>
              <w:pStyle w:val="21"/>
              <w:adjustRightInd w:val="0"/>
              <w:snapToGrid w:val="0"/>
              <w:spacing w:before="0" w:beforeAutospacing="0" w:after="0" w:afterAutospacing="0" w:line="400" w:lineRule="exact"/>
              <w:rPr>
                <w:rFonts w:cs="宋体"/>
                <w:snapToGrid w:val="0"/>
                <w:highlight w:val="none"/>
              </w:rPr>
            </w:pPr>
            <w:r>
              <w:rPr>
                <w:rFonts w:hint="eastAsia" w:cs="宋体"/>
                <w:snapToGrid w:val="0"/>
                <w:highlight w:val="none"/>
              </w:rPr>
              <w:t>□接受，联合体应满足的要求详见招标公告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1.6.1</w:t>
            </w:r>
          </w:p>
        </w:tc>
        <w:tc>
          <w:tcPr>
            <w:tcW w:w="1911"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关联性投标要求</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1.7.1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分包</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（1）分包：☑ 不允许</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 允许，分包内容要求：</w:t>
            </w:r>
            <w:r>
              <w:rPr>
                <w:rFonts w:hint="eastAsia" w:ascii="宋体" w:hAnsi="宋体" w:eastAsia="宋体" w:cs="宋体"/>
                <w:snapToGrid w:val="0"/>
                <w:kern w:val="0"/>
                <w:sz w:val="24"/>
                <w:highlight w:val="none"/>
                <w:u w:val="single"/>
              </w:rPr>
              <w:t xml:space="preserve">     （非主体、非关键内容）</w:t>
            </w:r>
          </w:p>
          <w:p>
            <w:pPr>
              <w:autoSpaceDE w:val="0"/>
              <w:autoSpaceDN w:val="0"/>
              <w:adjustRightInd w:val="0"/>
              <w:snapToGrid w:val="0"/>
              <w:spacing w:line="400" w:lineRule="exact"/>
              <w:rPr>
                <w:rFonts w:ascii="宋体" w:hAnsi="宋体" w:eastAsia="宋体" w:cs="宋体"/>
                <w:snapToGrid w:val="0"/>
                <w:kern w:val="0"/>
                <w:sz w:val="24"/>
                <w:highlight w:val="none"/>
                <w:shd w:val="clear" w:color="FFFFFF" w:fill="D9D9D9"/>
              </w:rPr>
            </w:pPr>
            <w:r>
              <w:rPr>
                <w:rFonts w:hint="eastAsia" w:ascii="宋体" w:hAnsi="宋体" w:eastAsia="宋体" w:cs="宋体"/>
                <w:snapToGrid w:val="0"/>
                <w:kern w:val="0"/>
                <w:sz w:val="24"/>
                <w:highlight w:val="none"/>
              </w:rPr>
              <w:t>分包金额要求：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1.8</w:t>
            </w:r>
          </w:p>
        </w:tc>
        <w:tc>
          <w:tcPr>
            <w:tcW w:w="1911" w:type="dxa"/>
            <w:vAlign w:val="center"/>
          </w:tcPr>
          <w:p>
            <w:pPr>
              <w:pStyle w:val="46"/>
              <w:adjustRightInd w:val="0"/>
              <w:snapToGrid w:val="0"/>
              <w:spacing w:line="400" w:lineRule="exact"/>
              <w:jc w:val="center"/>
              <w:rPr>
                <w:snapToGrid w:val="0"/>
                <w:sz w:val="24"/>
                <w:szCs w:val="24"/>
                <w:highlight w:val="none"/>
              </w:rPr>
            </w:pPr>
            <w:r>
              <w:rPr>
                <w:rFonts w:hint="eastAsia"/>
                <w:snapToGrid w:val="0"/>
                <w:sz w:val="24"/>
                <w:szCs w:val="24"/>
                <w:highlight w:val="none"/>
                <w:lang w:eastAsia="zh-CN"/>
              </w:rPr>
              <w:t>响应和</w:t>
            </w:r>
            <w:r>
              <w:rPr>
                <w:rFonts w:hint="eastAsia"/>
                <w:snapToGrid w:val="0"/>
                <w:sz w:val="24"/>
                <w:szCs w:val="24"/>
                <w:highlight w:val="none"/>
              </w:rPr>
              <w:t>偏差</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对投标响应和偏差的要求详见投标人须知1.8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2</w:t>
            </w:r>
            <w:r>
              <w:rPr>
                <w:rFonts w:hint="eastAsia"/>
                <w:snapToGrid w:val="0"/>
                <w:sz w:val="24"/>
                <w:szCs w:val="24"/>
                <w:highlight w:val="none"/>
              </w:rPr>
              <w:t>.</w:t>
            </w:r>
            <w:r>
              <w:rPr>
                <w:rFonts w:hint="eastAsia"/>
                <w:snapToGrid w:val="0"/>
                <w:sz w:val="24"/>
                <w:szCs w:val="24"/>
                <w:highlight w:val="none"/>
                <w:lang w:eastAsia="zh-CN"/>
              </w:rPr>
              <w:t>2</w:t>
            </w:r>
            <w:r>
              <w:rPr>
                <w:rFonts w:hint="eastAsia"/>
                <w:snapToGrid w:val="0"/>
                <w:sz w:val="24"/>
                <w:szCs w:val="24"/>
                <w:highlight w:val="none"/>
              </w:rPr>
              <w:t>.</w:t>
            </w:r>
            <w:r>
              <w:rPr>
                <w:rFonts w:hint="eastAsia"/>
                <w:snapToGrid w:val="0"/>
                <w:sz w:val="24"/>
                <w:szCs w:val="24"/>
                <w:highlight w:val="none"/>
                <w:lang w:eastAsia="zh-CN"/>
              </w:rPr>
              <w:t>1</w:t>
            </w:r>
          </w:p>
        </w:tc>
        <w:tc>
          <w:tcPr>
            <w:tcW w:w="1911" w:type="dxa"/>
            <w:vAlign w:val="center"/>
          </w:tcPr>
          <w:p>
            <w:pPr>
              <w:pStyle w:val="46"/>
              <w:snapToGrid w:val="0"/>
              <w:spacing w:line="400" w:lineRule="exact"/>
              <w:ind w:right="64" w:rightChars="20"/>
              <w:jc w:val="center"/>
              <w:rPr>
                <w:snapToGrid w:val="0"/>
                <w:sz w:val="24"/>
                <w:szCs w:val="24"/>
                <w:highlight w:val="none"/>
                <w:lang w:eastAsia="zh-CN"/>
              </w:rPr>
            </w:pPr>
            <w:r>
              <w:rPr>
                <w:rFonts w:hint="eastAsia"/>
                <w:snapToGrid w:val="0"/>
                <w:sz w:val="24"/>
                <w:szCs w:val="24"/>
                <w:highlight w:val="none"/>
                <w:lang w:eastAsia="zh-CN"/>
              </w:rPr>
              <w:t>招标文件的获取</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招标文件的获取方式、要求见招标公告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2.3.1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对招标文件提出问题的截止时间、方式</w:t>
            </w:r>
          </w:p>
        </w:tc>
        <w:tc>
          <w:tcPr>
            <w:tcW w:w="6428" w:type="dxa"/>
            <w:vAlign w:val="center"/>
          </w:tcPr>
          <w:p>
            <w:pPr>
              <w:autoSpaceDE w:val="0"/>
              <w:autoSpaceDN w:val="0"/>
              <w:adjustRightInd w:val="0"/>
              <w:snapToGrid w:val="0"/>
              <w:spacing w:line="400" w:lineRule="exact"/>
              <w:jc w:val="left"/>
              <w:rPr>
                <w:rFonts w:ascii="宋体" w:hAnsi="宋体" w:eastAsia="宋体" w:cs="宋体"/>
                <w:b/>
                <w:bCs/>
                <w:kern w:val="0"/>
                <w:sz w:val="24"/>
                <w:highlight w:val="none"/>
                <w:u w:val="single"/>
              </w:rPr>
            </w:pPr>
            <w:r>
              <w:rPr>
                <w:rFonts w:hint="eastAsia" w:ascii="宋体" w:hAnsi="宋体" w:eastAsia="宋体" w:cs="宋体"/>
                <w:kern w:val="0"/>
                <w:sz w:val="24"/>
                <w:highlight w:val="none"/>
              </w:rPr>
              <w:t xml:space="preserve">提出问题截止时间： </w:t>
            </w:r>
            <w:r>
              <w:rPr>
                <w:rFonts w:hint="eastAsia" w:ascii="宋体" w:hAnsi="宋体" w:eastAsia="宋体" w:cs="宋体"/>
                <w:b/>
                <w:bCs/>
                <w:kern w:val="0"/>
                <w:sz w:val="24"/>
                <w:highlight w:val="none"/>
                <w:u w:val="single"/>
              </w:rPr>
              <w:t>2024年1</w:t>
            </w:r>
            <w:r>
              <w:rPr>
                <w:rFonts w:hint="eastAsia" w:ascii="宋体" w:hAnsi="宋体" w:eastAsia="宋体" w:cs="宋体"/>
                <w:b/>
                <w:bCs/>
                <w:kern w:val="0"/>
                <w:sz w:val="24"/>
                <w:highlight w:val="none"/>
                <w:u w:val="single"/>
                <w:lang w:val="en-US" w:eastAsia="zh-CN"/>
              </w:rPr>
              <w:t>1</w:t>
            </w:r>
            <w:r>
              <w:rPr>
                <w:rFonts w:hint="eastAsia" w:ascii="宋体" w:hAnsi="宋体" w:eastAsia="宋体" w:cs="宋体"/>
                <w:b/>
                <w:bCs/>
                <w:kern w:val="0"/>
                <w:sz w:val="24"/>
                <w:highlight w:val="none"/>
                <w:u w:val="single"/>
              </w:rPr>
              <w:t>月</w:t>
            </w:r>
            <w:r>
              <w:rPr>
                <w:rFonts w:hint="eastAsia" w:ascii="宋体" w:hAnsi="宋体" w:eastAsia="宋体" w:cs="宋体"/>
                <w:b/>
                <w:bCs/>
                <w:kern w:val="0"/>
                <w:sz w:val="24"/>
                <w:highlight w:val="none"/>
                <w:u w:val="single"/>
                <w:lang w:val="en-US" w:eastAsia="zh-CN"/>
              </w:rPr>
              <w:t>10</w:t>
            </w:r>
            <w:r>
              <w:rPr>
                <w:rFonts w:hint="eastAsia" w:ascii="宋体" w:hAnsi="宋体" w:eastAsia="宋体" w:cs="宋体"/>
                <w:b/>
                <w:bCs/>
                <w:kern w:val="0"/>
                <w:sz w:val="24"/>
                <w:highlight w:val="none"/>
                <w:u w:val="single"/>
              </w:rPr>
              <w:t>日1</w:t>
            </w:r>
            <w:r>
              <w:rPr>
                <w:rFonts w:hint="eastAsia" w:ascii="宋体" w:hAnsi="宋体" w:eastAsia="宋体" w:cs="宋体"/>
                <w:b/>
                <w:bCs/>
                <w:kern w:val="0"/>
                <w:sz w:val="24"/>
                <w:highlight w:val="none"/>
                <w:u w:val="single"/>
                <w:lang w:val="en-US" w:eastAsia="zh-CN"/>
              </w:rPr>
              <w:t>7</w:t>
            </w:r>
            <w:r>
              <w:rPr>
                <w:rFonts w:hint="eastAsia" w:ascii="宋体" w:hAnsi="宋体" w:eastAsia="宋体" w:cs="宋体"/>
                <w:b/>
                <w:bCs/>
                <w:kern w:val="0"/>
                <w:sz w:val="24"/>
                <w:highlight w:val="none"/>
                <w:u w:val="single"/>
              </w:rPr>
              <w:t xml:space="preserve">:00 </w:t>
            </w:r>
          </w:p>
          <w:p>
            <w:pPr>
              <w:pStyle w:val="7"/>
              <w:rPr>
                <w:rFonts w:ascii="宋体" w:hAnsi="宋体" w:eastAsia="宋体" w:cs="宋体"/>
                <w:kern w:val="0"/>
                <w:sz w:val="24"/>
                <w:highlight w:val="none"/>
              </w:rPr>
            </w:pPr>
            <w:r>
              <w:rPr>
                <w:rFonts w:hint="eastAsia" w:ascii="宋体" w:hAnsi="宋体" w:eastAsia="宋体" w:cs="宋体"/>
                <w:kern w:val="0"/>
                <w:sz w:val="24"/>
                <w:highlight w:val="none"/>
              </w:rPr>
              <w:t>提出问题</w:t>
            </w:r>
            <w:r>
              <w:rPr>
                <w:rFonts w:hint="eastAsia" w:ascii="宋体" w:hAnsi="宋体" w:eastAsia="宋体" w:cs="宋体"/>
                <w:snapToGrid w:val="0"/>
                <w:kern w:val="0"/>
                <w:sz w:val="24"/>
                <w:highlight w:val="none"/>
              </w:rPr>
              <w:t>方式：</w:t>
            </w:r>
            <w:r>
              <w:rPr>
                <w:rFonts w:hint="eastAsia" w:ascii="宋体" w:hAnsi="宋体" w:eastAsia="宋体" w:cs="宋体"/>
                <w:kern w:val="0"/>
                <w:sz w:val="24"/>
                <w:highlight w:val="none"/>
              </w:rPr>
              <w:t>潜在投标人可登陆杭州城投采购平台通过网络在线方式提出质疑（登录网站https://jczx.hzcjtz.com/→标段详情→项目提疑）</w:t>
            </w:r>
          </w:p>
          <w:p>
            <w:pPr>
              <w:autoSpaceDE w:val="0"/>
              <w:autoSpaceDN w:val="0"/>
              <w:adjustRightInd w:val="0"/>
              <w:snapToGrid w:val="0"/>
              <w:spacing w:line="400" w:lineRule="exact"/>
              <w:rPr>
                <w:rFonts w:ascii="宋体" w:hAnsi="宋体" w:eastAsia="宋体" w:cs="宋体"/>
                <w:b/>
                <w:kern w:val="0"/>
                <w:sz w:val="24"/>
                <w:highlight w:val="none"/>
              </w:rPr>
            </w:pPr>
            <w:r>
              <w:rPr>
                <w:rFonts w:hint="eastAsia" w:ascii="宋体" w:hAnsi="宋体" w:eastAsia="宋体" w:cs="宋体"/>
                <w:b/>
                <w:kern w:val="0"/>
                <w:sz w:val="24"/>
                <w:highlight w:val="none"/>
              </w:rPr>
              <w:t>注：未按上述要求提出的问题，招标人有权不予答复。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2.3.2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sz w:val="24"/>
                <w:highlight w:val="none"/>
              </w:rPr>
              <w:t>招标文件澄清、修改发出的形式</w:t>
            </w:r>
          </w:p>
        </w:tc>
        <w:tc>
          <w:tcPr>
            <w:tcW w:w="6428" w:type="dxa"/>
            <w:vAlign w:val="center"/>
          </w:tcPr>
          <w:p>
            <w:pPr>
              <w:adjustRightInd w:val="0"/>
              <w:snapToGrid w:val="0"/>
              <w:spacing w:line="400" w:lineRule="exact"/>
              <w:jc w:val="left"/>
              <w:rPr>
                <w:rFonts w:ascii="宋体" w:hAnsi="宋体" w:eastAsia="宋体" w:cs="宋体"/>
                <w:b/>
                <w:bCs/>
                <w:kern w:val="0"/>
                <w:sz w:val="24"/>
                <w:highlight w:val="none"/>
                <w:u w:val="single"/>
              </w:rPr>
            </w:pPr>
            <w:r>
              <w:rPr>
                <w:rFonts w:hint="eastAsia" w:ascii="宋体" w:hAnsi="宋体" w:eastAsia="宋体" w:cs="宋体"/>
                <w:kern w:val="0"/>
                <w:sz w:val="24"/>
                <w:highlight w:val="none"/>
              </w:rPr>
              <w:t>澄清问题截止时间：</w:t>
            </w:r>
            <w:r>
              <w:rPr>
                <w:rFonts w:hint="eastAsia" w:ascii="宋体" w:hAnsi="宋体" w:eastAsia="宋体" w:cs="宋体"/>
                <w:kern w:val="0"/>
                <w:sz w:val="24"/>
                <w:highlight w:val="none"/>
                <w:u w:val="single"/>
              </w:rPr>
              <w:t>2024</w:t>
            </w:r>
            <w:r>
              <w:rPr>
                <w:rFonts w:hint="eastAsia" w:ascii="宋体" w:hAnsi="宋体" w:eastAsia="宋体" w:cs="宋体"/>
                <w:b/>
                <w:bCs/>
                <w:kern w:val="0"/>
                <w:sz w:val="24"/>
                <w:highlight w:val="none"/>
                <w:u w:val="single"/>
              </w:rPr>
              <w:t>年1</w:t>
            </w:r>
            <w:r>
              <w:rPr>
                <w:rFonts w:hint="eastAsia" w:ascii="宋体" w:hAnsi="宋体" w:eastAsia="宋体" w:cs="宋体"/>
                <w:b/>
                <w:bCs/>
                <w:kern w:val="0"/>
                <w:sz w:val="24"/>
                <w:highlight w:val="none"/>
                <w:u w:val="single"/>
                <w:lang w:val="en-US" w:eastAsia="zh-CN"/>
              </w:rPr>
              <w:t>1</w:t>
            </w:r>
            <w:r>
              <w:rPr>
                <w:rFonts w:hint="eastAsia" w:ascii="宋体" w:hAnsi="宋体" w:eastAsia="宋体" w:cs="宋体"/>
                <w:b/>
                <w:bCs/>
                <w:kern w:val="0"/>
                <w:sz w:val="24"/>
                <w:highlight w:val="none"/>
                <w:u w:val="single"/>
              </w:rPr>
              <w:t>月</w:t>
            </w:r>
            <w:r>
              <w:rPr>
                <w:rFonts w:hint="eastAsia" w:ascii="宋体" w:hAnsi="宋体" w:eastAsia="宋体" w:cs="宋体"/>
                <w:b/>
                <w:bCs/>
                <w:kern w:val="0"/>
                <w:sz w:val="24"/>
                <w:highlight w:val="none"/>
                <w:u w:val="single"/>
                <w:lang w:val="en-US" w:eastAsia="zh-CN"/>
              </w:rPr>
              <w:t>13</w:t>
            </w:r>
            <w:r>
              <w:rPr>
                <w:rFonts w:hint="eastAsia" w:ascii="宋体" w:hAnsi="宋体" w:eastAsia="宋体" w:cs="宋体"/>
                <w:b/>
                <w:bCs/>
                <w:kern w:val="0"/>
                <w:sz w:val="24"/>
                <w:highlight w:val="none"/>
                <w:u w:val="single"/>
              </w:rPr>
              <w:t>日17:00</w:t>
            </w:r>
          </w:p>
          <w:p>
            <w:pPr>
              <w:spacing w:line="400" w:lineRule="exact"/>
              <w:rPr>
                <w:rFonts w:ascii="宋体" w:hAnsi="宋体" w:eastAsia="宋体" w:cs="宋体"/>
                <w:snapToGrid w:val="0"/>
                <w:kern w:val="0"/>
                <w:sz w:val="24"/>
                <w:highlight w:val="none"/>
              </w:rPr>
            </w:pPr>
            <w:r>
              <w:rPr>
                <w:rFonts w:ascii="Segoe UI Emoji" w:hAnsi="Segoe UI Emoji" w:eastAsia="宋体" w:cs="Segoe UI Emoji"/>
                <w:snapToGrid w:val="0"/>
                <w:kern w:val="0"/>
                <w:sz w:val="24"/>
                <w:highlight w:val="none"/>
              </w:rPr>
              <w:t>☑</w:t>
            </w:r>
            <w:r>
              <w:rPr>
                <w:rFonts w:hint="eastAsia" w:ascii="宋体" w:hAnsi="宋体" w:eastAsia="宋体" w:cs="宋体"/>
                <w:snapToGrid w:val="0"/>
                <w:sz w:val="24"/>
                <w:highlight w:val="none"/>
              </w:rPr>
              <w:t>在</w:t>
            </w:r>
            <w:r>
              <w:rPr>
                <w:rFonts w:hint="eastAsia" w:ascii="宋体" w:hAnsi="宋体" w:eastAsia="宋体" w:cs="宋体"/>
                <w:snapToGrid w:val="0"/>
                <w:sz w:val="24"/>
                <w:highlight w:val="none"/>
                <w:lang w:val="zh-CN"/>
              </w:rPr>
              <w:t>本项目招标公告发布页面公布（详见招标公告），投标人可自行下载获取澄清或修改</w:t>
            </w:r>
            <w:r>
              <w:rPr>
                <w:rFonts w:hint="eastAsia" w:ascii="宋体" w:hAnsi="宋体" w:eastAsia="宋体" w:cs="宋体"/>
                <w:snapToGrid w:val="0"/>
                <w:kern w:val="0"/>
                <w:sz w:val="24"/>
                <w:highlight w:val="none"/>
              </w:rPr>
              <w:t>文件，投标截止时间前，请投标人务必关注补充公告。</w:t>
            </w:r>
          </w:p>
          <w:p>
            <w:pPr>
              <w:spacing w:line="400" w:lineRule="exact"/>
              <w:rPr>
                <w:rFonts w:ascii="宋体" w:hAnsi="宋体" w:eastAsia="宋体" w:cs="宋体"/>
                <w:kern w:val="0"/>
                <w:sz w:val="24"/>
                <w:highlight w:val="none"/>
              </w:rPr>
            </w:pPr>
            <w:r>
              <w:rPr>
                <w:rFonts w:hint="eastAsia" w:ascii="宋体" w:hAnsi="宋体" w:eastAsia="宋体" w:cs="宋体"/>
                <w:snapToGrid w:val="0"/>
                <w:sz w:val="24"/>
                <w:highlight w:val="none"/>
              </w:rPr>
              <w:t>□</w:t>
            </w:r>
            <w:r>
              <w:rPr>
                <w:highlight w:val="none"/>
              </w:rPr>
              <w:fldChar w:fldCharType="begin"/>
            </w:r>
            <w:r>
              <w:rPr>
                <w:highlight w:val="none"/>
              </w:rPr>
              <w:instrText xml:space="preserve"> HYPERLINK "mailto:招标人或招标代理机构把所有投标人所须澄清的答疑问题及结果以补充文件书面盖章扫描件形式发送电子邮件于各投标人，投标人在补充文件发出之日24小时内按要求回复确认单，发送电子邮件至359702621@qq.com。" </w:instrText>
            </w:r>
            <w:r>
              <w:rPr>
                <w:highlight w:val="none"/>
              </w:rPr>
              <w:fldChar w:fldCharType="separate"/>
            </w:r>
            <w:r>
              <w:rPr>
                <w:rStyle w:val="30"/>
                <w:rFonts w:hint="eastAsia" w:ascii="宋体" w:hAnsi="宋体" w:cs="宋体"/>
                <w:snapToGrid w:val="0"/>
                <w:color w:val="auto"/>
                <w:sz w:val="24"/>
                <w:highlight w:val="none"/>
                <w:lang w:val="zh-CN"/>
              </w:rPr>
              <w:t>招标人或招标代理机构把所有投标人所需澄清的答疑问题及结果以补充文件书面盖章扫描件形式发送电子邮件于各投标人</w:t>
            </w:r>
            <w:r>
              <w:rPr>
                <w:rStyle w:val="30"/>
                <w:rFonts w:hint="eastAsia" w:ascii="宋体" w:hAnsi="宋体" w:cs="宋体"/>
                <w:snapToGrid w:val="0"/>
                <w:color w:val="auto"/>
                <w:sz w:val="24"/>
                <w:highlight w:val="none"/>
              </w:rPr>
              <w:t>，</w:t>
            </w:r>
            <w:r>
              <w:rPr>
                <w:rStyle w:val="30"/>
                <w:rFonts w:hint="eastAsia" w:ascii="宋体" w:hAnsi="宋体" w:cs="宋体"/>
                <w:snapToGrid w:val="0"/>
                <w:color w:val="auto"/>
                <w:sz w:val="24"/>
                <w:highlight w:val="none"/>
                <w:lang w:val="zh-CN"/>
              </w:rPr>
              <w:t>投标人在补充文件发出之日</w:t>
            </w:r>
            <w:r>
              <w:rPr>
                <w:rStyle w:val="30"/>
                <w:rFonts w:hint="eastAsia" w:ascii="宋体" w:hAnsi="宋体" w:cs="宋体"/>
                <w:snapToGrid w:val="0"/>
                <w:color w:val="auto"/>
                <w:sz w:val="24"/>
                <w:highlight w:val="none"/>
              </w:rPr>
              <w:t>24</w:t>
            </w:r>
            <w:r>
              <w:rPr>
                <w:rStyle w:val="30"/>
                <w:rFonts w:hint="eastAsia" w:ascii="宋体" w:hAnsi="宋体" w:cs="宋体"/>
                <w:snapToGrid w:val="0"/>
                <w:color w:val="auto"/>
                <w:sz w:val="24"/>
                <w:highlight w:val="none"/>
                <w:lang w:val="zh-CN"/>
              </w:rPr>
              <w:t>小时内按要求回复确认单</w:t>
            </w:r>
            <w:r>
              <w:rPr>
                <w:rStyle w:val="30"/>
                <w:rFonts w:hint="eastAsia" w:ascii="宋体" w:hAnsi="宋体" w:cs="宋体"/>
                <w:snapToGrid w:val="0"/>
                <w:color w:val="auto"/>
                <w:sz w:val="24"/>
                <w:highlight w:val="none"/>
              </w:rPr>
              <w:t>，</w:t>
            </w:r>
            <w:r>
              <w:rPr>
                <w:rStyle w:val="30"/>
                <w:rFonts w:hint="eastAsia" w:ascii="宋体" w:hAnsi="宋体" w:cs="宋体"/>
                <w:snapToGrid w:val="0"/>
                <w:color w:val="auto"/>
                <w:sz w:val="24"/>
                <w:highlight w:val="none"/>
                <w:lang w:val="zh-CN"/>
              </w:rPr>
              <w:t>发送电子邮件至</w:t>
            </w:r>
            <w:r>
              <w:rPr>
                <w:rStyle w:val="30"/>
                <w:rFonts w:hint="eastAsia" w:ascii="宋体" w:hAnsi="宋体" w:cs="宋体"/>
                <w:snapToGrid w:val="0"/>
                <w:color w:val="auto"/>
                <w:sz w:val="24"/>
                <w:highlight w:val="none"/>
                <w:u w:val="single"/>
              </w:rPr>
              <w:t>/</w:t>
            </w:r>
            <w:r>
              <w:rPr>
                <w:rStyle w:val="30"/>
                <w:rFonts w:hint="eastAsia" w:ascii="宋体" w:hAnsi="宋体" w:cs="宋体"/>
                <w:snapToGrid w:val="0"/>
                <w:color w:val="auto"/>
                <w:sz w:val="24"/>
                <w:highlight w:val="none"/>
              </w:rPr>
              <w:t>@qq.com</w:t>
            </w:r>
            <w:r>
              <w:rPr>
                <w:rStyle w:val="30"/>
                <w:rFonts w:hint="eastAsia" w:ascii="宋体" w:hAnsi="宋体" w:cs="宋体"/>
                <w:snapToGrid w:val="0"/>
                <w:color w:val="auto"/>
                <w:sz w:val="24"/>
                <w:highlight w:val="none"/>
                <w:lang w:val="zh-CN"/>
              </w:rPr>
              <w:t>。</w:t>
            </w:r>
            <w:r>
              <w:rPr>
                <w:rStyle w:val="30"/>
                <w:rFonts w:hint="eastAsia" w:ascii="宋体" w:hAnsi="宋体" w:cs="宋体"/>
                <w:snapToGrid w:val="0"/>
                <w:color w:val="auto"/>
                <w:sz w:val="24"/>
                <w:highlight w:val="none"/>
                <w:lang w:val="zh-CN"/>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投标文件组成</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投标文件由资格文件、商务文件、资信文件、技术文件四部分组成。（分标包的项目，若所有标包都投可分别或合并装订成册，若只投其中某个标包，则要各标包分别装订，并注明是第几标包。）</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1.资格文件</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有效营业执照或事业单位法人证书、社会团体法人登记证书或其他组织登记证明文件、税务登记证和委托书（或介绍信）（如已办理三证合一的投标人，提供三证合一后的“营业执照”（副本）复印件即可）；</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（2）投标保证金缴存证明；</w:t>
            </w:r>
          </w:p>
          <w:p>
            <w:pPr>
              <w:wordWrap w:val="0"/>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（3）提供“信用中国”（www.creditchina.gov.cn）记录查询网页截图、中国政府采购网（www.ccgp.gov.cn）记录查询网页截图，“国家企业信用信息公示系统”（https://www.gsxt.gov.cn/index.html）股权结构查询网页截图；</w:t>
            </w:r>
          </w:p>
          <w:p>
            <w:pPr>
              <w:autoSpaceDE w:val="0"/>
              <w:autoSpaceDN w:val="0"/>
              <w:adjustRightInd w:val="0"/>
              <w:snapToGrid w:val="0"/>
              <w:spacing w:line="400" w:lineRule="exact"/>
              <w:rPr>
                <w:rFonts w:ascii="宋体" w:hAnsi="宋体" w:eastAsia="宋体" w:cs="宋体"/>
                <w:snapToGrid w:val="0"/>
                <w:kern w:val="0"/>
                <w:sz w:val="24"/>
                <w:highlight w:val="none"/>
                <w:lang w:val="zh-CN"/>
              </w:rPr>
            </w:pPr>
            <w:r>
              <w:rPr>
                <w:rFonts w:hint="eastAsia" w:ascii="宋体" w:hAnsi="宋体" w:eastAsia="宋体" w:cs="宋体"/>
                <w:snapToGrid w:val="0"/>
                <w:kern w:val="0"/>
                <w:sz w:val="24"/>
                <w:highlight w:val="none"/>
                <w:lang w:val="zh-CN"/>
              </w:rPr>
              <w:t>（</w:t>
            </w:r>
            <w:r>
              <w:rPr>
                <w:rFonts w:hint="eastAsia" w:ascii="宋体" w:hAnsi="宋体" w:eastAsia="宋体" w:cs="宋体"/>
                <w:snapToGrid w:val="0"/>
                <w:kern w:val="0"/>
                <w:sz w:val="24"/>
                <w:highlight w:val="none"/>
              </w:rPr>
              <w:t>4）</w:t>
            </w:r>
            <w:r>
              <w:rPr>
                <w:rFonts w:hint="eastAsia" w:ascii="宋体" w:hAnsi="宋体" w:eastAsia="宋体" w:cs="宋体"/>
                <w:snapToGrid w:val="0"/>
                <w:kern w:val="0"/>
                <w:sz w:val="24"/>
                <w:highlight w:val="none"/>
                <w:lang w:val="zh-CN"/>
              </w:rPr>
              <w:t>其他：</w:t>
            </w:r>
            <w:r>
              <w:rPr>
                <w:rFonts w:hint="eastAsia" w:ascii="宋体" w:hAnsi="宋体" w:eastAsia="宋体" w:cs="宋体"/>
                <w:sz w:val="24"/>
                <w:highlight w:val="none"/>
                <w:u w:val="single"/>
              </w:rPr>
              <w:t>/</w:t>
            </w:r>
            <w:r>
              <w:rPr>
                <w:rFonts w:hint="eastAsia" w:ascii="宋体" w:hAnsi="宋体" w:eastAsia="宋体" w:cs="宋体"/>
                <w:snapToGrid w:val="0"/>
                <w:kern w:val="0"/>
                <w:sz w:val="24"/>
                <w:highlight w:val="none"/>
              </w:rPr>
              <w:t>。</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2.商务报价部分</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（1）投标函；</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（2）投标报价明细表；</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（3）法定代表人资格证明书、法定代表人授权委托书（单独提供，同时装订在商务报价文件中）；</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（4）联合体协议书（若有）；</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（5）商务偏离表（实质性响应条款必须填写，其他条款如不填写，则视为完全响应招标文件的技术要求）；</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（6）商务优惠条件及特殊承诺。</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3.资信文件部分</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（1）投标人情况表；</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（2）投标人近</w:t>
            </w:r>
            <w:r>
              <w:rPr>
                <w:rFonts w:hint="eastAsia" w:ascii="宋体" w:hAnsi="宋体" w:eastAsia="宋体" w:cs="宋体"/>
                <w:snapToGrid w:val="0"/>
                <w:kern w:val="0"/>
                <w:sz w:val="24"/>
                <w:highlight w:val="none"/>
                <w:u w:val="single"/>
              </w:rPr>
              <w:t>5</w:t>
            </w:r>
            <w:r>
              <w:rPr>
                <w:rFonts w:hint="eastAsia" w:ascii="宋体" w:hAnsi="宋体" w:eastAsia="宋体" w:cs="宋体"/>
                <w:snapToGrid w:val="0"/>
                <w:kern w:val="0"/>
                <w:sz w:val="24"/>
                <w:highlight w:val="none"/>
              </w:rPr>
              <w:t>年类似业绩情况表（证明材料提供合同复印件等）；</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（3）诚信廉洁承诺函；</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（4）投标人认为有必要的其他内容等。</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4.技术部分</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（1）技术与服务解决方案：</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（2）增值服务及特殊承诺；</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（3）技术偏离表；</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（4）投标人认为需要提供的其他文件和说明。</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备注：以上证明材料提供复印件加盖公章。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3.4.2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sz w:val="24"/>
                <w:highlight w:val="none"/>
              </w:rPr>
              <w:t>投标文件份数及其他要求</w:t>
            </w:r>
          </w:p>
        </w:tc>
        <w:tc>
          <w:tcPr>
            <w:tcW w:w="6428" w:type="dxa"/>
            <w:vAlign w:val="center"/>
          </w:tcPr>
          <w:p>
            <w:pPr>
              <w:pStyle w:val="46"/>
              <w:snapToGrid w:val="0"/>
              <w:spacing w:line="400" w:lineRule="exact"/>
              <w:ind w:right="64" w:rightChars="20"/>
              <w:jc w:val="both"/>
              <w:rPr>
                <w:sz w:val="24"/>
                <w:szCs w:val="24"/>
                <w:highlight w:val="none"/>
                <w:lang w:eastAsia="zh-CN"/>
              </w:rPr>
            </w:pPr>
            <w:r>
              <w:rPr>
                <w:rFonts w:hint="eastAsia"/>
                <w:sz w:val="24"/>
                <w:szCs w:val="24"/>
                <w:highlight w:val="none"/>
                <w:lang w:eastAsia="zh-CN"/>
              </w:rPr>
              <w:t>投标文件份数：1正</w:t>
            </w:r>
            <w:r>
              <w:rPr>
                <w:rFonts w:hint="eastAsia"/>
                <w:sz w:val="24"/>
                <w:szCs w:val="24"/>
                <w:highlight w:val="none"/>
                <w:u w:val="single"/>
                <w:lang w:eastAsia="zh-CN"/>
              </w:rPr>
              <w:t>4</w:t>
            </w:r>
            <w:r>
              <w:rPr>
                <w:rFonts w:hint="eastAsia"/>
                <w:sz w:val="24"/>
                <w:szCs w:val="24"/>
                <w:highlight w:val="none"/>
                <w:lang w:eastAsia="zh-CN"/>
              </w:rPr>
              <w:t>副</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提交电子版文件：</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□否</w:t>
            </w:r>
          </w:p>
          <w:p>
            <w:pPr>
              <w:autoSpaceDE w:val="0"/>
              <w:autoSpaceDN w:val="0"/>
              <w:adjustRightInd w:val="0"/>
              <w:snapToGrid w:val="0"/>
              <w:spacing w:line="400" w:lineRule="exact"/>
              <w:rPr>
                <w:rFonts w:ascii="宋体" w:hAnsi="宋体" w:eastAsia="宋体" w:cs="宋体"/>
                <w:sz w:val="24"/>
                <w:highlight w:val="none"/>
              </w:rPr>
            </w:pPr>
            <w:r>
              <w:rPr>
                <w:rFonts w:ascii="Segoe UI Emoji" w:hAnsi="Segoe UI Emoji" w:eastAsia="宋体" w:cs="Segoe UI Emoji"/>
                <w:sz w:val="24"/>
                <w:highlight w:val="none"/>
              </w:rPr>
              <w:t>☑</w:t>
            </w:r>
            <w:r>
              <w:rPr>
                <w:rFonts w:hint="eastAsia" w:ascii="宋体" w:hAnsi="宋体" w:eastAsia="宋体" w:cs="宋体"/>
                <w:sz w:val="24"/>
                <w:highlight w:val="none"/>
              </w:rPr>
              <w:t>是，提交电子版带红章的PDF文件及word版本各1份（形式为：</w:t>
            </w:r>
            <w:r>
              <w:rPr>
                <w:rFonts w:hint="eastAsia" w:ascii="宋体" w:hAnsi="宋体" w:eastAsia="宋体" w:cs="宋体"/>
                <w:sz w:val="24"/>
                <w:highlight w:val="none"/>
                <w:u w:val="single"/>
              </w:rPr>
              <w:t xml:space="preserve"> U盘形式 </w:t>
            </w:r>
            <w:r>
              <w:rPr>
                <w:rFonts w:hint="eastAsia" w:ascii="宋体" w:hAnsi="宋体" w:eastAsia="宋体" w:cs="宋体"/>
                <w:sz w:val="24"/>
                <w:highlight w:val="none"/>
              </w:rPr>
              <w:t>）（与投标文件一起密封）。</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如投标人同时对多个标包进行投标的，需针对每个标包分别编制投标文件。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3.4.3</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装订要求</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是否分册装订：</w:t>
            </w:r>
          </w:p>
          <w:p>
            <w:pPr>
              <w:pStyle w:val="46"/>
              <w:snapToGrid w:val="0"/>
              <w:spacing w:line="400" w:lineRule="exact"/>
              <w:ind w:right="64" w:rightChars="20"/>
              <w:jc w:val="both"/>
              <w:rPr>
                <w:snapToGrid w:val="0"/>
                <w:sz w:val="24"/>
                <w:szCs w:val="24"/>
                <w:highlight w:val="none"/>
                <w:lang w:eastAsia="zh-CN"/>
              </w:rPr>
            </w:pPr>
            <w:r>
              <w:rPr>
                <w:rFonts w:ascii="Segoe UI Emoji" w:hAnsi="Segoe UI Emoji" w:cs="Segoe UI Emoji"/>
                <w:snapToGrid w:val="0"/>
                <w:sz w:val="24"/>
                <w:szCs w:val="24"/>
                <w:highlight w:val="none"/>
                <w:lang w:eastAsia="zh-CN"/>
              </w:rPr>
              <w:t>☑</w:t>
            </w:r>
            <w:r>
              <w:rPr>
                <w:rFonts w:hint="eastAsia"/>
                <w:snapToGrid w:val="0"/>
                <w:sz w:val="24"/>
                <w:szCs w:val="24"/>
                <w:highlight w:val="none"/>
                <w:lang w:eastAsia="zh-CN"/>
              </w:rPr>
              <w:t>不分册装订；</w:t>
            </w:r>
          </w:p>
          <w:p>
            <w:pPr>
              <w:pStyle w:val="46"/>
              <w:snapToGrid w:val="0"/>
              <w:spacing w:line="400" w:lineRule="exact"/>
              <w:ind w:right="64" w:rightChars="20"/>
              <w:jc w:val="both"/>
              <w:rPr>
                <w:snapToGrid w:val="0"/>
                <w:sz w:val="24"/>
                <w:szCs w:val="24"/>
                <w:highlight w:val="none"/>
                <w:u w:val="single"/>
                <w:lang w:eastAsia="zh-CN"/>
              </w:rPr>
            </w:pPr>
            <w:r>
              <w:rPr>
                <w:rFonts w:hint="eastAsia"/>
                <w:snapToGrid w:val="0"/>
                <w:sz w:val="24"/>
                <w:szCs w:val="24"/>
                <w:highlight w:val="none"/>
                <w:lang w:eastAsia="zh-CN"/>
              </w:rPr>
              <w:t>□分册装订。</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装订要求：A4幅面，</w:t>
            </w:r>
            <w:r>
              <w:rPr>
                <w:rFonts w:hint="eastAsia"/>
                <w:b/>
                <w:bCs/>
                <w:snapToGrid w:val="0"/>
                <w:sz w:val="24"/>
                <w:szCs w:val="24"/>
                <w:highlight w:val="none"/>
                <w:lang w:eastAsia="zh-CN"/>
              </w:rPr>
              <w:t>双面</w:t>
            </w:r>
            <w:r>
              <w:rPr>
                <w:rFonts w:hint="eastAsia"/>
                <w:snapToGrid w:val="0"/>
                <w:sz w:val="24"/>
                <w:szCs w:val="24"/>
                <w:highlight w:val="none"/>
                <w:lang w:eastAsia="zh-CN"/>
              </w:rPr>
              <w:t>打印，卡纸作封面。每册采用胶装方式装订，装订应牢固、不易拆散和换页，不得采用活页装订。</w:t>
            </w:r>
          </w:p>
          <w:p>
            <w:pPr>
              <w:pStyle w:val="46"/>
              <w:snapToGrid w:val="0"/>
              <w:spacing w:line="400" w:lineRule="exact"/>
              <w:ind w:right="64" w:rightChars="20"/>
              <w:jc w:val="both"/>
              <w:rPr>
                <w:snapToGrid w:val="0"/>
                <w:sz w:val="24"/>
                <w:szCs w:val="24"/>
                <w:highlight w:val="none"/>
                <w:u w:val="single"/>
                <w:lang w:eastAsia="zh-CN"/>
              </w:rPr>
            </w:pPr>
            <w:r>
              <w:rPr>
                <w:rFonts w:hint="eastAsia"/>
                <w:b/>
                <w:snapToGrid w:val="0"/>
                <w:kern w:val="2"/>
                <w:sz w:val="24"/>
                <w:szCs w:val="24"/>
                <w:highlight w:val="none"/>
                <w:lang w:eastAsia="zh-CN"/>
              </w:rPr>
              <w:t>注：未按分册装订要求、不采用胶装的投标文件将视作未按招标文件规定的格式编制。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3.4.4</w:t>
            </w:r>
          </w:p>
          <w:p>
            <w:pPr>
              <w:autoSpaceDE w:val="0"/>
              <w:autoSpaceDN w:val="0"/>
              <w:adjustRightInd w:val="0"/>
              <w:snapToGrid w:val="0"/>
              <w:spacing w:line="400" w:lineRule="exact"/>
              <w:jc w:val="center"/>
              <w:rPr>
                <w:rFonts w:ascii="宋体" w:hAnsi="宋体" w:eastAsia="宋体" w:cs="宋体"/>
                <w:snapToGrid w:val="0"/>
                <w:kern w:val="0"/>
                <w:sz w:val="24"/>
                <w:highlight w:val="none"/>
              </w:rPr>
            </w:pPr>
          </w:p>
        </w:tc>
        <w:tc>
          <w:tcPr>
            <w:tcW w:w="1911" w:type="dxa"/>
            <w:vAlign w:val="center"/>
          </w:tcPr>
          <w:p>
            <w:pPr>
              <w:pStyle w:val="46"/>
              <w:adjustRightInd w:val="0"/>
              <w:snapToGrid w:val="0"/>
              <w:spacing w:line="400" w:lineRule="exact"/>
              <w:jc w:val="center"/>
              <w:rPr>
                <w:snapToGrid w:val="0"/>
                <w:sz w:val="24"/>
                <w:szCs w:val="24"/>
                <w:highlight w:val="none"/>
                <w:lang w:eastAsia="zh-CN"/>
              </w:rPr>
            </w:pPr>
            <w:r>
              <w:rPr>
                <w:rFonts w:hint="eastAsia"/>
                <w:snapToGrid w:val="0"/>
                <w:sz w:val="24"/>
                <w:szCs w:val="24"/>
                <w:highlight w:val="none"/>
                <w:lang w:eastAsia="zh-CN"/>
              </w:rPr>
              <w:t>投标文件签署、盖章要求</w:t>
            </w:r>
          </w:p>
          <w:p>
            <w:pPr>
              <w:autoSpaceDE w:val="0"/>
              <w:autoSpaceDN w:val="0"/>
              <w:adjustRightInd w:val="0"/>
              <w:snapToGrid w:val="0"/>
              <w:spacing w:line="400" w:lineRule="exact"/>
              <w:jc w:val="center"/>
              <w:rPr>
                <w:rFonts w:ascii="宋体" w:hAnsi="宋体" w:eastAsia="宋体" w:cs="宋体"/>
                <w:snapToGrid w:val="0"/>
                <w:kern w:val="0"/>
                <w:sz w:val="24"/>
                <w:highlight w:val="none"/>
              </w:rPr>
            </w:pPr>
          </w:p>
        </w:tc>
        <w:tc>
          <w:tcPr>
            <w:tcW w:w="6428" w:type="dxa"/>
            <w:vAlign w:val="center"/>
          </w:tcPr>
          <w:p>
            <w:pPr>
              <w:pStyle w:val="46"/>
              <w:spacing w:line="400" w:lineRule="exact"/>
              <w:jc w:val="both"/>
              <w:rPr>
                <w:snapToGrid w:val="0"/>
                <w:sz w:val="24"/>
                <w:szCs w:val="24"/>
                <w:highlight w:val="none"/>
                <w:lang w:eastAsia="zh-CN"/>
              </w:rPr>
            </w:pPr>
            <w:r>
              <w:rPr>
                <w:rFonts w:hint="eastAsia"/>
                <w:snapToGrid w:val="0"/>
                <w:sz w:val="24"/>
                <w:szCs w:val="24"/>
                <w:highlight w:val="none"/>
                <w:lang w:eastAsia="zh-CN"/>
              </w:rPr>
              <w:t>对投标文件签署、盖章的要求详见投标人须知3.4.4。</w:t>
            </w:r>
          </w:p>
          <w:p>
            <w:pPr>
              <w:pStyle w:val="46"/>
              <w:autoSpaceDE w:val="0"/>
              <w:autoSpaceDN w:val="0"/>
              <w:adjustRightInd w:val="0"/>
              <w:snapToGrid w:val="0"/>
              <w:spacing w:line="400" w:lineRule="exact"/>
              <w:rPr>
                <w:snapToGrid w:val="0"/>
                <w:sz w:val="24"/>
                <w:szCs w:val="24"/>
                <w:highlight w:val="none"/>
                <w:lang w:eastAsia="zh-CN"/>
              </w:rPr>
            </w:pPr>
            <w:r>
              <w:rPr>
                <w:rFonts w:hint="eastAsia"/>
                <w:b/>
                <w:bCs/>
                <w:snapToGrid w:val="0"/>
                <w:sz w:val="24"/>
                <w:szCs w:val="24"/>
                <w:highlight w:val="none"/>
                <w:lang w:eastAsia="zh-CN"/>
              </w:rPr>
              <w:t>注：若投标人为联合体的，签署（签字）、盖章的主体为联合体</w:t>
            </w:r>
            <w:r>
              <w:rPr>
                <w:rFonts w:hint="eastAsia"/>
                <w:snapToGrid w:val="0"/>
                <w:sz w:val="24"/>
                <w:szCs w:val="24"/>
                <w:highlight w:val="none"/>
                <w:lang w:eastAsia="zh-CN"/>
              </w:rPr>
              <w:sym w:font="Wingdings 2" w:char="00A3"/>
            </w:r>
            <w:r>
              <w:rPr>
                <w:rFonts w:hint="eastAsia"/>
                <w:b/>
                <w:bCs/>
                <w:snapToGrid w:val="0"/>
                <w:sz w:val="24"/>
                <w:szCs w:val="24"/>
                <w:highlight w:val="none"/>
                <w:u w:val="single"/>
                <w:lang w:eastAsia="zh-CN"/>
              </w:rPr>
              <w:t>成员各方</w:t>
            </w:r>
            <w:r>
              <w:rPr>
                <w:rFonts w:hint="eastAsia"/>
                <w:b/>
                <w:bCs/>
                <w:snapToGrid w:val="0"/>
                <w:sz w:val="24"/>
                <w:szCs w:val="24"/>
                <w:highlight w:val="none"/>
                <w:lang w:eastAsia="zh-CN"/>
              </w:rPr>
              <w:t xml:space="preserve"> / </w:t>
            </w:r>
            <w:r>
              <w:rPr>
                <w:rFonts w:hint="eastAsia"/>
                <w:snapToGrid w:val="0"/>
                <w:sz w:val="24"/>
                <w:szCs w:val="24"/>
                <w:highlight w:val="none"/>
                <w:lang w:eastAsia="zh-CN"/>
              </w:rPr>
              <w:sym w:font="Wingdings 2" w:char="00A3"/>
            </w:r>
            <w:r>
              <w:rPr>
                <w:rFonts w:hint="eastAsia"/>
                <w:b/>
                <w:bCs/>
                <w:snapToGrid w:val="0"/>
                <w:sz w:val="24"/>
                <w:szCs w:val="24"/>
                <w:highlight w:val="none"/>
                <w:u w:val="single"/>
                <w:lang w:eastAsia="zh-CN"/>
              </w:rPr>
              <w:t>牵头人</w:t>
            </w:r>
            <w:r>
              <w:rPr>
                <w:rFonts w:hint="eastAsia"/>
                <w:b/>
                <w:bCs/>
                <w:snapToGrid w:val="0"/>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踏勘现场</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本项目是否组织踏勘现场：</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sym w:font="Wingdings 2" w:char="00A3"/>
            </w:r>
            <w:r>
              <w:rPr>
                <w:rFonts w:hint="eastAsia" w:ascii="宋体" w:hAnsi="宋体" w:eastAsia="宋体" w:cs="宋体"/>
                <w:snapToGrid w:val="0"/>
                <w:kern w:val="0"/>
                <w:sz w:val="24"/>
                <w:highlight w:val="none"/>
              </w:rPr>
              <w:t>组织，联系人：，联系方式： 。</w:t>
            </w:r>
          </w:p>
          <w:p>
            <w:pPr>
              <w:adjustRightInd w:val="0"/>
              <w:snapToGrid w:val="0"/>
              <w:spacing w:line="400" w:lineRule="exact"/>
              <w:ind w:right="160" w:rightChars="50"/>
              <w:rPr>
                <w:rFonts w:ascii="宋体" w:hAnsi="宋体" w:eastAsia="宋体" w:cs="宋体"/>
                <w:sz w:val="24"/>
                <w:highlight w:val="none"/>
              </w:rPr>
            </w:pPr>
            <w:r>
              <w:rPr>
                <w:rFonts w:hint="eastAsia" w:ascii="宋体" w:hAnsi="宋体" w:eastAsia="宋体" w:cs="宋体"/>
                <w:snapToGrid w:val="0"/>
                <w:kern w:val="0"/>
                <w:sz w:val="24"/>
                <w:highlight w:val="none"/>
              </w:rPr>
              <w:t>踏勘时间：</w:t>
            </w:r>
            <w:r>
              <w:rPr>
                <w:rFonts w:hint="eastAsia" w:ascii="宋体" w:hAnsi="宋体" w:eastAsia="宋体" w:cs="宋体"/>
                <w:snapToGrid w:val="0"/>
                <w:kern w:val="0"/>
                <w:sz w:val="24"/>
                <w:highlight w:val="none"/>
                <w:u w:val="single"/>
              </w:rPr>
              <w:t xml:space="preserve">          ，</w:t>
            </w:r>
            <w:r>
              <w:rPr>
                <w:rFonts w:hint="eastAsia" w:ascii="宋体" w:hAnsi="宋体" w:eastAsia="宋体" w:cs="宋体"/>
                <w:snapToGrid w:val="0"/>
                <w:kern w:val="0"/>
                <w:sz w:val="24"/>
                <w:highlight w:val="none"/>
              </w:rPr>
              <w:t>踏勘地点：。</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□不组织。</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ascii="Segoe UI Emoji" w:hAnsi="Segoe UI Emoji" w:eastAsia="宋体" w:cs="Segoe UI Emoji"/>
                <w:snapToGrid w:val="0"/>
                <w:kern w:val="0"/>
                <w:sz w:val="24"/>
                <w:highlight w:val="none"/>
              </w:rPr>
              <w:t>☑</w:t>
            </w:r>
            <w:r>
              <w:rPr>
                <w:rFonts w:hint="eastAsia" w:ascii="宋体" w:hAnsi="宋体" w:eastAsia="宋体" w:cs="宋体"/>
                <w:snapToGrid w:val="0"/>
                <w:kern w:val="0"/>
                <w:sz w:val="24"/>
                <w:highlight w:val="none"/>
              </w:rPr>
              <w:t>投标人经招标人同意后可自行前往对项目现场和周围环境进行踏勘和了解。联系人：</w:t>
            </w:r>
            <w:r>
              <w:rPr>
                <w:rFonts w:hint="eastAsia" w:ascii="宋体" w:hAnsi="宋体" w:eastAsia="宋体" w:cs="宋体"/>
                <w:snapToGrid w:val="0"/>
                <w:kern w:val="0"/>
                <w:sz w:val="24"/>
                <w:highlight w:val="none"/>
                <w:u w:val="single"/>
              </w:rPr>
              <w:t>华工</w:t>
            </w:r>
            <w:r>
              <w:rPr>
                <w:rFonts w:hint="eastAsia" w:ascii="宋体" w:hAnsi="宋体" w:eastAsia="宋体" w:cs="宋体"/>
                <w:snapToGrid w:val="0"/>
                <w:kern w:val="0"/>
                <w:sz w:val="24"/>
                <w:highlight w:val="none"/>
              </w:rPr>
              <w:t>，联系方式：</w:t>
            </w:r>
            <w:r>
              <w:rPr>
                <w:rFonts w:hint="eastAsia" w:cs="宋体"/>
                <w:snapToGrid w:val="0"/>
                <w:sz w:val="24"/>
                <w:highlight w:val="none"/>
                <w:u w:val="single"/>
              </w:rPr>
              <w:t>0571-81997921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4.2.1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投标预备会</w:t>
            </w:r>
          </w:p>
        </w:tc>
        <w:tc>
          <w:tcPr>
            <w:tcW w:w="6428" w:type="dxa"/>
            <w:vAlign w:val="center"/>
          </w:tcPr>
          <w:p>
            <w:pPr>
              <w:widowControl/>
              <w:spacing w:line="400" w:lineRule="exact"/>
              <w:jc w:val="left"/>
              <w:rPr>
                <w:rFonts w:ascii="宋体" w:hAnsi="宋体" w:eastAsia="宋体" w:cs="宋体"/>
                <w:kern w:val="0"/>
                <w:sz w:val="24"/>
                <w:highlight w:val="none"/>
              </w:rPr>
            </w:pPr>
            <w:r>
              <w:rPr>
                <w:rFonts w:hint="eastAsia" w:ascii="宋体" w:hAnsi="宋体" w:eastAsia="宋体" w:cs="宋体"/>
                <w:kern w:val="0"/>
                <w:sz w:val="24"/>
                <w:highlight w:val="none"/>
              </w:rPr>
              <w:t>本项目是否召开投标预备会：</w:t>
            </w:r>
          </w:p>
          <w:p>
            <w:pPr>
              <w:widowControl/>
              <w:spacing w:line="400" w:lineRule="exact"/>
              <w:jc w:val="left"/>
              <w:rPr>
                <w:rFonts w:ascii="宋体" w:hAnsi="宋体" w:eastAsia="宋体" w:cs="宋体"/>
                <w:kern w:val="0"/>
                <w:sz w:val="24"/>
                <w:highlight w:val="none"/>
              </w:rPr>
            </w:pPr>
            <w:r>
              <w:rPr>
                <w:rFonts w:hint="eastAsia" w:ascii="宋体" w:hAnsi="宋体" w:eastAsia="宋体" w:cs="宋体"/>
                <w:kern w:val="0"/>
                <w:sz w:val="24"/>
                <w:highlight w:val="none"/>
              </w:rPr>
              <w:sym w:font="Wingdings" w:char="00FE"/>
            </w:r>
            <w:r>
              <w:rPr>
                <w:rFonts w:hint="eastAsia" w:ascii="宋体" w:hAnsi="宋体" w:eastAsia="宋体" w:cs="宋体"/>
                <w:kern w:val="0"/>
                <w:sz w:val="24"/>
                <w:highlight w:val="none"/>
              </w:rPr>
              <w:t>不召开</w:t>
            </w:r>
          </w:p>
          <w:p>
            <w:pPr>
              <w:widowControl/>
              <w:spacing w:line="400" w:lineRule="exact"/>
              <w:jc w:val="left"/>
              <w:rPr>
                <w:rFonts w:ascii="宋体" w:hAnsi="宋体" w:eastAsia="宋体" w:cs="宋体"/>
                <w:sz w:val="24"/>
                <w:highlight w:val="none"/>
              </w:rPr>
            </w:pPr>
            <w:r>
              <w:rPr>
                <w:rFonts w:hint="eastAsia" w:ascii="宋体" w:hAnsi="宋体" w:eastAsia="宋体" w:cs="宋体"/>
                <w:kern w:val="0"/>
                <w:sz w:val="24"/>
                <w:highlight w:val="none"/>
              </w:rPr>
              <w:sym w:font="Wingdings" w:char="00A8"/>
            </w:r>
            <w:r>
              <w:rPr>
                <w:rFonts w:hint="eastAsia" w:ascii="宋体" w:hAnsi="宋体" w:eastAsia="宋体" w:cs="宋体"/>
                <w:kern w:val="0"/>
                <w:sz w:val="24"/>
                <w:highlight w:val="none"/>
              </w:rPr>
              <w:t>召开，召开时间：</w:t>
            </w:r>
          </w:p>
          <w:p>
            <w:pPr>
              <w:widowControl/>
              <w:spacing w:line="400" w:lineRule="exact"/>
              <w:ind w:firstLine="960" w:firstLineChars="400"/>
              <w:jc w:val="left"/>
              <w:rPr>
                <w:rFonts w:ascii="宋体" w:hAnsi="宋体" w:eastAsia="宋体" w:cs="宋体"/>
                <w:snapToGrid w:val="0"/>
                <w:kern w:val="0"/>
                <w:sz w:val="24"/>
                <w:highlight w:val="none"/>
                <w:u w:val="single"/>
              </w:rPr>
            </w:pPr>
            <w:r>
              <w:rPr>
                <w:rFonts w:hint="eastAsia" w:ascii="宋体" w:hAnsi="宋体" w:eastAsia="宋体" w:cs="宋体"/>
                <w:kern w:val="0"/>
                <w:sz w:val="24"/>
                <w:highlight w:val="none"/>
              </w:rPr>
              <w:t>召开地点：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4.3.1</w:t>
            </w:r>
          </w:p>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4.3.2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投标保证金</w:t>
            </w:r>
          </w:p>
        </w:tc>
        <w:tc>
          <w:tcPr>
            <w:tcW w:w="6428" w:type="dxa"/>
            <w:vAlign w:val="center"/>
          </w:tcPr>
          <w:p>
            <w:pPr>
              <w:widowControl/>
              <w:spacing w:line="400" w:lineRule="exact"/>
              <w:jc w:val="left"/>
              <w:rPr>
                <w:rFonts w:ascii="宋体" w:hAnsi="宋体" w:eastAsia="宋体" w:cs="宋体"/>
                <w:kern w:val="0"/>
                <w:sz w:val="24"/>
                <w:highlight w:val="none"/>
              </w:rPr>
            </w:pPr>
            <w:r>
              <w:rPr>
                <w:rFonts w:hint="eastAsia" w:ascii="宋体" w:hAnsi="宋体" w:eastAsia="宋体" w:cs="宋体"/>
                <w:b/>
                <w:snapToGrid w:val="0"/>
                <w:kern w:val="0"/>
                <w:sz w:val="24"/>
                <w:highlight w:val="none"/>
              </w:rPr>
              <w:t>本项目</w:t>
            </w:r>
            <w:r>
              <w:rPr>
                <w:rFonts w:hint="eastAsia" w:ascii="宋体" w:hAnsi="宋体" w:eastAsia="宋体" w:cs="宋体"/>
                <w:snapToGrid w:val="0"/>
                <w:sz w:val="24"/>
                <w:highlight w:val="none"/>
              </w:rPr>
              <w:sym w:font="Wingdings 2" w:char="0052"/>
            </w:r>
            <w:r>
              <w:rPr>
                <w:rFonts w:hint="eastAsia" w:ascii="宋体" w:hAnsi="宋体" w:eastAsia="宋体" w:cs="宋体"/>
                <w:b/>
                <w:snapToGrid w:val="0"/>
                <w:kern w:val="0"/>
                <w:sz w:val="24"/>
                <w:highlight w:val="none"/>
                <w:u w:val="single"/>
              </w:rPr>
              <w:t>需要</w:t>
            </w:r>
            <w:r>
              <w:rPr>
                <w:rFonts w:hint="eastAsia" w:ascii="宋体" w:hAnsi="宋体" w:eastAsia="宋体" w:cs="宋体"/>
                <w:b/>
                <w:snapToGrid w:val="0"/>
                <w:kern w:val="0"/>
                <w:sz w:val="24"/>
                <w:highlight w:val="none"/>
              </w:rPr>
              <w:t xml:space="preserve"> / </w:t>
            </w:r>
            <w:r>
              <w:rPr>
                <w:rFonts w:hint="eastAsia" w:ascii="宋体" w:hAnsi="宋体" w:eastAsia="宋体" w:cs="宋体"/>
                <w:snapToGrid w:val="0"/>
                <w:sz w:val="24"/>
                <w:highlight w:val="none"/>
              </w:rPr>
              <w:sym w:font="Wingdings 2" w:char="00A3"/>
            </w:r>
            <w:r>
              <w:rPr>
                <w:rFonts w:hint="eastAsia" w:ascii="宋体" w:hAnsi="宋体" w:eastAsia="宋体" w:cs="宋体"/>
                <w:b/>
                <w:snapToGrid w:val="0"/>
                <w:kern w:val="0"/>
                <w:sz w:val="24"/>
                <w:highlight w:val="none"/>
                <w:u w:val="single"/>
              </w:rPr>
              <w:t>不需要缴纳</w:t>
            </w:r>
            <w:r>
              <w:rPr>
                <w:rFonts w:hint="eastAsia" w:ascii="宋体" w:hAnsi="宋体" w:eastAsia="宋体" w:cs="宋体"/>
                <w:b/>
                <w:snapToGrid w:val="0"/>
                <w:kern w:val="0"/>
                <w:sz w:val="24"/>
                <w:highlight w:val="none"/>
              </w:rPr>
              <w:t>投标保证金。</w:t>
            </w:r>
          </w:p>
          <w:p>
            <w:pPr>
              <w:widowControl/>
              <w:spacing w:line="400" w:lineRule="exact"/>
              <w:jc w:val="left"/>
              <w:rPr>
                <w:rFonts w:ascii="宋体" w:hAnsi="宋体" w:eastAsia="宋体" w:cs="宋体"/>
                <w:bCs/>
                <w:sz w:val="24"/>
                <w:highlight w:val="none"/>
              </w:rPr>
            </w:pPr>
            <w:r>
              <w:rPr>
                <w:rFonts w:hint="eastAsia" w:ascii="宋体" w:hAnsi="宋体" w:eastAsia="宋体" w:cs="宋体"/>
                <w:bCs/>
                <w:sz w:val="24"/>
                <w:highlight w:val="none"/>
              </w:rPr>
              <w:t>（1）交纳金额：</w:t>
            </w:r>
            <w:r>
              <w:rPr>
                <w:rFonts w:hint="eastAsia" w:ascii="宋体" w:hAnsi="宋体" w:eastAsia="宋体" w:cs="宋体"/>
                <w:bCs/>
                <w:sz w:val="24"/>
                <w:highlight w:val="none"/>
                <w:u w:val="single"/>
              </w:rPr>
              <w:t xml:space="preserve">55400 </w:t>
            </w:r>
            <w:r>
              <w:rPr>
                <w:rFonts w:hint="eastAsia" w:ascii="宋体" w:hAnsi="宋体" w:eastAsia="宋体" w:cs="宋体"/>
                <w:bCs/>
                <w:sz w:val="24"/>
                <w:highlight w:val="none"/>
              </w:rPr>
              <w:t>元；</w:t>
            </w:r>
          </w:p>
          <w:p>
            <w:pPr>
              <w:widowControl/>
              <w:spacing w:line="400" w:lineRule="exact"/>
              <w:jc w:val="left"/>
              <w:rPr>
                <w:rFonts w:ascii="宋体" w:hAnsi="宋体" w:eastAsia="宋体" w:cs="宋体"/>
                <w:b/>
                <w:snapToGrid w:val="0"/>
                <w:kern w:val="0"/>
                <w:sz w:val="24"/>
                <w:highlight w:val="none"/>
              </w:rPr>
            </w:pPr>
            <w:r>
              <w:rPr>
                <w:rFonts w:hint="eastAsia" w:ascii="宋体" w:hAnsi="宋体" w:eastAsia="宋体" w:cs="宋体"/>
                <w:bCs/>
                <w:sz w:val="24"/>
                <w:highlight w:val="none"/>
              </w:rPr>
              <w:t>（2）交纳期限：投标截止时间前。具体详</w:t>
            </w:r>
            <w:r>
              <w:rPr>
                <w:rFonts w:hint="eastAsia" w:ascii="宋体" w:hAnsi="宋体" w:eastAsia="宋体" w:cs="宋体"/>
                <w:b/>
                <w:snapToGrid w:val="0"/>
                <w:kern w:val="0"/>
                <w:sz w:val="24"/>
                <w:highlight w:val="none"/>
              </w:rPr>
              <w:t>见招标公告。</w:t>
            </w:r>
          </w:p>
          <w:p>
            <w:pPr>
              <w:widowControl/>
              <w:spacing w:line="400" w:lineRule="exact"/>
              <w:ind w:firstLine="241" w:firstLineChars="100"/>
              <w:jc w:val="left"/>
              <w:rPr>
                <w:rFonts w:ascii="宋体" w:hAnsi="宋体" w:eastAsia="宋体" w:cs="宋体"/>
                <w:b/>
                <w:snapToGrid w:val="0"/>
                <w:sz w:val="24"/>
                <w:highlight w:val="none"/>
              </w:rPr>
            </w:pPr>
            <w:r>
              <w:rPr>
                <w:rFonts w:hint="eastAsia" w:ascii="宋体" w:hAnsi="宋体" w:eastAsia="宋体" w:cs="宋体"/>
                <w:b/>
                <w:snapToGrid w:val="0"/>
                <w:sz w:val="24"/>
                <w:highlight w:val="none"/>
              </w:rPr>
              <w:t>注：（1）投标保证金交纳后，须在投标文件中提供投标保证金缴存证明；</w:t>
            </w:r>
          </w:p>
          <w:p>
            <w:pPr>
              <w:widowControl/>
              <w:spacing w:line="400" w:lineRule="exact"/>
              <w:jc w:val="left"/>
              <w:rPr>
                <w:rFonts w:ascii="宋体" w:hAnsi="宋体" w:eastAsia="宋体" w:cs="宋体"/>
                <w:b/>
                <w:snapToGrid w:val="0"/>
                <w:kern w:val="0"/>
                <w:sz w:val="24"/>
                <w:highlight w:val="none"/>
              </w:rPr>
            </w:pPr>
            <w:r>
              <w:rPr>
                <w:rFonts w:hint="eastAsia" w:ascii="宋体" w:hAnsi="宋体" w:eastAsia="宋体" w:cs="宋体"/>
                <w:bCs/>
                <w:snapToGrid w:val="0"/>
                <w:sz w:val="24"/>
                <w:highlight w:val="none"/>
              </w:rPr>
              <w:t>（2）</w:t>
            </w:r>
            <w:r>
              <w:rPr>
                <w:rFonts w:hint="eastAsia" w:ascii="宋体" w:hAnsi="宋体" w:eastAsia="宋体" w:cs="宋体"/>
                <w:kern w:val="0"/>
                <w:sz w:val="24"/>
                <w:highlight w:val="none"/>
              </w:rPr>
              <w:t xml:space="preserve">若投标人为联合体的，缴纳投标保证金的主体为联合体 </w:t>
            </w:r>
            <w:r>
              <w:rPr>
                <w:rFonts w:hint="eastAsia" w:ascii="宋体" w:hAnsi="宋体" w:eastAsia="宋体" w:cs="宋体"/>
                <w:kern w:val="0"/>
                <w:sz w:val="24"/>
                <w:highlight w:val="none"/>
              </w:rPr>
              <w:sym w:font="Wingdings 2" w:char="00A3"/>
            </w:r>
            <w:r>
              <w:rPr>
                <w:rFonts w:hint="eastAsia" w:ascii="宋体" w:hAnsi="宋体" w:eastAsia="宋体" w:cs="宋体"/>
                <w:kern w:val="0"/>
                <w:sz w:val="24"/>
                <w:highlight w:val="none"/>
              </w:rPr>
              <w:t xml:space="preserve"> 成员各方 / </w:t>
            </w:r>
            <w:r>
              <w:rPr>
                <w:rFonts w:hint="eastAsia" w:ascii="宋体" w:hAnsi="宋体" w:eastAsia="宋体" w:cs="宋体"/>
                <w:kern w:val="0"/>
                <w:sz w:val="24"/>
                <w:highlight w:val="none"/>
              </w:rPr>
              <w:sym w:font="Wingdings 2" w:char="00A3"/>
            </w:r>
            <w:r>
              <w:rPr>
                <w:rFonts w:hint="eastAsia" w:ascii="宋体" w:hAnsi="宋体" w:eastAsia="宋体" w:cs="宋体"/>
                <w:kern w:val="0"/>
                <w:sz w:val="24"/>
                <w:highlight w:val="none"/>
              </w:rPr>
              <w:t xml:space="preserve"> 牵头人。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4.4.1</w:t>
            </w:r>
          </w:p>
        </w:tc>
        <w:tc>
          <w:tcPr>
            <w:tcW w:w="1911" w:type="dxa"/>
            <w:vAlign w:val="center"/>
          </w:tcPr>
          <w:p>
            <w:pPr>
              <w:autoSpaceDE w:val="0"/>
              <w:autoSpaceDN w:val="0"/>
              <w:adjustRightInd w:val="0"/>
              <w:snapToGrid w:val="0"/>
              <w:spacing w:line="4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投标样品</w:t>
            </w:r>
          </w:p>
        </w:tc>
        <w:tc>
          <w:tcPr>
            <w:tcW w:w="6428" w:type="dxa"/>
            <w:vAlign w:val="center"/>
          </w:tcPr>
          <w:p>
            <w:pPr>
              <w:widowControl/>
              <w:autoSpaceDE w:val="0"/>
              <w:autoSpaceDN w:val="0"/>
              <w:adjustRightInd w:val="0"/>
              <w:snapToGrid w:val="0"/>
              <w:spacing w:line="400" w:lineRule="exact"/>
              <w:jc w:val="left"/>
              <w:rPr>
                <w:rFonts w:ascii="宋体" w:hAnsi="宋体" w:eastAsia="宋体" w:cs="宋体"/>
                <w:sz w:val="24"/>
                <w:highlight w:val="none"/>
              </w:rPr>
            </w:pPr>
            <w:r>
              <w:rPr>
                <w:rFonts w:hint="eastAsia" w:ascii="宋体" w:hAnsi="宋体" w:eastAsia="宋体" w:cs="宋体"/>
                <w:sz w:val="24"/>
                <w:highlight w:val="none"/>
              </w:rPr>
              <w:t>本项目有无要求投标人提供样品：</w:t>
            </w:r>
          </w:p>
          <w:p>
            <w:pPr>
              <w:widowControl/>
              <w:autoSpaceDE w:val="0"/>
              <w:autoSpaceDN w:val="0"/>
              <w:adjustRightInd w:val="0"/>
              <w:snapToGrid w:val="0"/>
              <w:spacing w:line="400" w:lineRule="exact"/>
              <w:jc w:val="left"/>
              <w:rPr>
                <w:rFonts w:ascii="宋体" w:hAnsi="宋体" w:eastAsia="宋体" w:cs="宋体"/>
                <w:b/>
                <w:sz w:val="24"/>
                <w:highlight w:val="none"/>
              </w:rPr>
            </w:pPr>
            <w:r>
              <w:rPr>
                <w:rFonts w:hint="eastAsia" w:ascii="宋体" w:hAnsi="宋体" w:eastAsia="宋体" w:cs="宋体"/>
                <w:sz w:val="24"/>
                <w:highlight w:val="none"/>
              </w:rPr>
              <w:t xml:space="preserve"> ☑无  □有，投标样品的要求：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4.5.1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投标文件密封包装要求</w:t>
            </w:r>
          </w:p>
        </w:tc>
        <w:tc>
          <w:tcPr>
            <w:tcW w:w="6428" w:type="dxa"/>
            <w:vAlign w:val="center"/>
          </w:tcPr>
          <w:p>
            <w:pPr>
              <w:pStyle w:val="9"/>
              <w:spacing w:after="0" w:line="400" w:lineRule="exact"/>
              <w:ind w:firstLine="0" w:firstLineChars="0"/>
              <w:rPr>
                <w:rFonts w:ascii="宋体" w:hAnsi="宋体" w:cs="宋体"/>
                <w:snapToGrid w:val="0"/>
                <w:sz w:val="24"/>
                <w:szCs w:val="24"/>
                <w:highlight w:val="none"/>
              </w:rPr>
            </w:pPr>
            <w:r>
              <w:rPr>
                <w:rFonts w:hint="eastAsia" w:ascii="宋体" w:hAnsi="宋体" w:cs="宋体"/>
                <w:snapToGrid w:val="0"/>
                <w:sz w:val="24"/>
                <w:szCs w:val="24"/>
                <w:highlight w:val="none"/>
              </w:rPr>
              <w:t>对投标文件密封包装的要求详见投标人须知第4.7.1。</w:t>
            </w:r>
          </w:p>
          <w:p>
            <w:pPr>
              <w:spacing w:line="400" w:lineRule="exact"/>
              <w:rPr>
                <w:rFonts w:ascii="宋体" w:hAnsi="宋体" w:eastAsia="宋体" w:cs="宋体"/>
                <w:sz w:val="24"/>
                <w:highlight w:val="none"/>
              </w:rPr>
            </w:pPr>
            <w:r>
              <w:rPr>
                <w:rFonts w:hint="eastAsia" w:ascii="宋体" w:hAnsi="宋体" w:eastAsia="宋体" w:cs="宋体"/>
                <w:b/>
                <w:bCs/>
                <w:snapToGrid w:val="0"/>
                <w:kern w:val="0"/>
                <w:sz w:val="24"/>
                <w:highlight w:val="none"/>
              </w:rPr>
              <w:t>注：若投标人为联合体的，签署（签字）、盖章的主体为联合体</w:t>
            </w:r>
            <w:r>
              <w:rPr>
                <w:rFonts w:hint="eastAsia" w:ascii="宋体" w:hAnsi="宋体" w:eastAsia="宋体" w:cs="宋体"/>
                <w:snapToGrid w:val="0"/>
                <w:sz w:val="24"/>
                <w:highlight w:val="none"/>
              </w:rPr>
              <w:sym w:font="Wingdings 2" w:char="00A3"/>
            </w:r>
            <w:r>
              <w:rPr>
                <w:rFonts w:hint="eastAsia" w:ascii="宋体" w:hAnsi="宋体" w:eastAsia="宋体" w:cs="宋体"/>
                <w:b/>
                <w:bCs/>
                <w:snapToGrid w:val="0"/>
                <w:kern w:val="0"/>
                <w:sz w:val="24"/>
                <w:highlight w:val="none"/>
                <w:u w:val="single"/>
              </w:rPr>
              <w:t>成员各方</w:t>
            </w:r>
            <w:r>
              <w:rPr>
                <w:rFonts w:hint="eastAsia" w:ascii="宋体" w:hAnsi="宋体" w:eastAsia="宋体" w:cs="宋体"/>
                <w:b/>
                <w:bCs/>
                <w:snapToGrid w:val="0"/>
                <w:kern w:val="0"/>
                <w:sz w:val="24"/>
                <w:highlight w:val="none"/>
              </w:rPr>
              <w:t xml:space="preserve"> / </w:t>
            </w:r>
            <w:r>
              <w:rPr>
                <w:rFonts w:hint="eastAsia" w:ascii="宋体" w:hAnsi="宋体" w:eastAsia="宋体" w:cs="宋体"/>
                <w:snapToGrid w:val="0"/>
                <w:sz w:val="24"/>
                <w:highlight w:val="none"/>
              </w:rPr>
              <w:sym w:font="Wingdings 2" w:char="00A3"/>
            </w:r>
            <w:r>
              <w:rPr>
                <w:rFonts w:hint="eastAsia" w:ascii="宋体" w:hAnsi="宋体" w:eastAsia="宋体" w:cs="宋体"/>
                <w:b/>
                <w:bCs/>
                <w:snapToGrid w:val="0"/>
                <w:kern w:val="0"/>
                <w:sz w:val="24"/>
                <w:highlight w:val="none"/>
                <w:u w:val="single"/>
              </w:rPr>
              <w:t>牵头人。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4.5.2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封套上写明</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bookmarkStart w:id="5" w:name="OLE_LINK1"/>
            <w:r>
              <w:rPr>
                <w:rFonts w:hint="eastAsia" w:ascii="宋体" w:hAnsi="宋体" w:eastAsia="宋体" w:cs="宋体"/>
                <w:snapToGrid w:val="0"/>
                <w:kern w:val="0"/>
                <w:sz w:val="24"/>
                <w:highlight w:val="none"/>
                <w:u w:val="single"/>
              </w:rPr>
              <w:t>2024-2026年度起重设备及抓斗维保采购项目</w:t>
            </w:r>
            <w:r>
              <w:rPr>
                <w:rFonts w:hint="eastAsia" w:ascii="宋体" w:hAnsi="宋体" w:eastAsia="宋体" w:cs="宋体"/>
                <w:snapToGrid w:val="0"/>
                <w:kern w:val="0"/>
                <w:sz w:val="24"/>
                <w:highlight w:val="none"/>
              </w:rPr>
              <w:t>投标文件</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在年月日时分（即开标时间）前不得开启。</w:t>
            </w:r>
          </w:p>
          <w:p>
            <w:pPr>
              <w:autoSpaceDE w:val="0"/>
              <w:autoSpaceDN w:val="0"/>
              <w:adjustRightInd w:val="0"/>
              <w:snapToGrid w:val="0"/>
              <w:spacing w:line="400" w:lineRule="exact"/>
              <w:rPr>
                <w:rFonts w:ascii="宋体" w:hAnsi="宋体" w:eastAsia="宋体" w:cs="宋体"/>
                <w:snapToGrid w:val="0"/>
                <w:kern w:val="0"/>
                <w:sz w:val="24"/>
                <w:highlight w:val="none"/>
                <w:u w:val="single"/>
              </w:rPr>
            </w:pPr>
            <w:r>
              <w:rPr>
                <w:rFonts w:hint="eastAsia" w:ascii="宋体" w:hAnsi="宋体" w:eastAsia="宋体" w:cs="宋体"/>
                <w:snapToGrid w:val="0"/>
                <w:kern w:val="0"/>
                <w:sz w:val="24"/>
                <w:highlight w:val="none"/>
              </w:rPr>
              <w:t>投标人名称：</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投标人地址：</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联 系 人：</w:t>
            </w:r>
          </w:p>
          <w:p>
            <w:pPr>
              <w:autoSpaceDE w:val="0"/>
              <w:autoSpaceDN w:val="0"/>
              <w:adjustRightInd w:val="0"/>
              <w:snapToGrid w:val="0"/>
              <w:spacing w:line="400" w:lineRule="exact"/>
              <w:rPr>
                <w:rFonts w:ascii="宋体" w:hAnsi="宋体" w:eastAsia="宋体" w:cs="宋体"/>
                <w:snapToGrid w:val="0"/>
                <w:kern w:val="0"/>
                <w:sz w:val="24"/>
                <w:highlight w:val="none"/>
                <w:u w:val="single"/>
              </w:rPr>
            </w:pPr>
            <w:r>
              <w:rPr>
                <w:rFonts w:hint="eastAsia" w:ascii="宋体" w:hAnsi="宋体" w:eastAsia="宋体" w:cs="宋体"/>
                <w:snapToGrid w:val="0"/>
                <w:kern w:val="0"/>
                <w:sz w:val="24"/>
                <w:highlight w:val="none"/>
              </w:rPr>
              <w:t>手机号码：</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电子邮箱：</w:t>
            </w:r>
            <w:bookmarkEnd w:id="5"/>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4.7.1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投标文件递交</w:t>
            </w:r>
          </w:p>
        </w:tc>
        <w:tc>
          <w:tcPr>
            <w:tcW w:w="6428" w:type="dxa"/>
            <w:vAlign w:val="center"/>
          </w:tcPr>
          <w:p>
            <w:pPr>
              <w:wordWrap w:val="0"/>
              <w:spacing w:line="400" w:lineRule="exact"/>
              <w:ind w:right="62"/>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文件递交地点：见招标公告。</w:t>
            </w:r>
          </w:p>
          <w:p>
            <w:pPr>
              <w:wordWrap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文件递交方式：采用以下第</w:t>
            </w:r>
            <w:r>
              <w:rPr>
                <w:rFonts w:hint="eastAsia" w:ascii="宋体" w:hAnsi="宋体" w:eastAsia="宋体" w:cs="宋体"/>
                <w:snapToGrid w:val="0"/>
                <w:kern w:val="0"/>
                <w:sz w:val="24"/>
                <w:highlight w:val="none"/>
                <w:u w:val="single"/>
              </w:rPr>
              <w:fldChar w:fldCharType="begin"/>
            </w:r>
            <w:r>
              <w:rPr>
                <w:rFonts w:hint="eastAsia" w:ascii="宋体" w:hAnsi="宋体" w:eastAsia="宋体" w:cs="宋体"/>
                <w:snapToGrid w:val="0"/>
                <w:kern w:val="0"/>
                <w:sz w:val="24"/>
                <w:highlight w:val="none"/>
                <w:u w:val="single"/>
              </w:rPr>
              <w:instrText xml:space="preserve"> = 1 \* GB3 \* MERGEFORMAT </w:instrText>
            </w:r>
            <w:r>
              <w:rPr>
                <w:rFonts w:hint="eastAsia" w:ascii="宋体" w:hAnsi="宋体" w:eastAsia="宋体" w:cs="宋体"/>
                <w:snapToGrid w:val="0"/>
                <w:kern w:val="0"/>
                <w:sz w:val="24"/>
                <w:highlight w:val="none"/>
                <w:u w:val="single"/>
              </w:rPr>
              <w:fldChar w:fldCharType="separate"/>
            </w:r>
            <w:r>
              <w:rPr>
                <w:rFonts w:hint="eastAsia" w:ascii="宋体" w:hAnsi="宋体" w:eastAsia="宋体" w:cs="宋体"/>
                <w:snapToGrid w:val="0"/>
                <w:kern w:val="0"/>
                <w:sz w:val="24"/>
                <w:highlight w:val="none"/>
                <w:u w:val="single"/>
              </w:rPr>
              <w:t>①</w:t>
            </w:r>
            <w:r>
              <w:rPr>
                <w:rFonts w:hint="eastAsia" w:ascii="宋体" w:hAnsi="宋体" w:eastAsia="宋体" w:cs="宋体"/>
                <w:snapToGrid w:val="0"/>
                <w:kern w:val="0"/>
                <w:sz w:val="24"/>
                <w:highlight w:val="none"/>
                <w:u w:val="single"/>
              </w:rPr>
              <w:fldChar w:fldCharType="end"/>
            </w:r>
            <w:r>
              <w:rPr>
                <w:rFonts w:hint="eastAsia" w:ascii="宋体" w:hAnsi="宋体" w:eastAsia="宋体" w:cs="宋体"/>
                <w:snapToGrid w:val="0"/>
                <w:kern w:val="0"/>
                <w:sz w:val="24"/>
                <w:highlight w:val="none"/>
              </w:rPr>
              <w:t>种方式。</w:t>
            </w:r>
          </w:p>
          <w:p>
            <w:pPr>
              <w:wordWrap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fldChar w:fldCharType="begin"/>
            </w:r>
            <w:r>
              <w:rPr>
                <w:rFonts w:hint="eastAsia" w:ascii="宋体" w:hAnsi="宋体" w:eastAsia="宋体" w:cs="宋体"/>
                <w:snapToGrid w:val="0"/>
                <w:kern w:val="0"/>
                <w:sz w:val="24"/>
                <w:highlight w:val="none"/>
              </w:rPr>
              <w:instrText xml:space="preserve"> = 1 \* GB3 \* MERGEFORMAT </w:instrText>
            </w:r>
            <w:r>
              <w:rPr>
                <w:rFonts w:hint="eastAsia" w:ascii="宋体" w:hAnsi="宋体" w:eastAsia="宋体" w:cs="宋体"/>
                <w:snapToGrid w:val="0"/>
                <w:kern w:val="0"/>
                <w:sz w:val="24"/>
                <w:highlight w:val="none"/>
              </w:rPr>
              <w:fldChar w:fldCharType="separate"/>
            </w:r>
            <w:r>
              <w:rPr>
                <w:rFonts w:hint="eastAsia" w:ascii="宋体" w:hAnsi="宋体" w:eastAsia="宋体" w:cs="宋体"/>
                <w:snapToGrid w:val="0"/>
                <w:kern w:val="0"/>
                <w:sz w:val="24"/>
                <w:highlight w:val="none"/>
              </w:rPr>
              <w:t>①</w:t>
            </w:r>
            <w:r>
              <w:rPr>
                <w:rFonts w:hint="eastAsia" w:ascii="宋体" w:hAnsi="宋体" w:eastAsia="宋体" w:cs="宋体"/>
                <w:snapToGrid w:val="0"/>
                <w:kern w:val="0"/>
                <w:sz w:val="24"/>
                <w:highlight w:val="none"/>
              </w:rPr>
              <w:fldChar w:fldCharType="end"/>
            </w:r>
            <w:r>
              <w:rPr>
                <w:rFonts w:hint="eastAsia" w:ascii="宋体" w:hAnsi="宋体" w:eastAsia="宋体" w:cs="宋体"/>
                <w:snapToGrid w:val="0"/>
                <w:kern w:val="0"/>
                <w:sz w:val="24"/>
                <w:highlight w:val="none"/>
              </w:rPr>
              <w:t>开标现场递交，各投标人法定代表人或其委托代理人对投标文件的递交记录情况进行签字确认。开标现场：</w:t>
            </w:r>
            <w:r>
              <w:rPr>
                <w:rFonts w:hint="eastAsia" w:ascii="宋体" w:hAnsi="宋体" w:eastAsia="宋体" w:cs="宋体"/>
                <w:snapToGrid w:val="0"/>
                <w:kern w:val="0"/>
                <w:sz w:val="24"/>
                <w:highlight w:val="none"/>
                <w:u w:val="single"/>
              </w:rPr>
              <w:t>见招标公告</w:t>
            </w:r>
            <w:r>
              <w:rPr>
                <w:rFonts w:hint="eastAsia" w:ascii="宋体" w:hAnsi="宋体" w:eastAsia="宋体" w:cs="宋体"/>
                <w:snapToGrid w:val="0"/>
                <w:kern w:val="0"/>
                <w:sz w:val="24"/>
                <w:highlight w:val="none"/>
              </w:rPr>
              <w:t>。</w:t>
            </w:r>
          </w:p>
          <w:p>
            <w:pPr>
              <w:wordWrap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fldChar w:fldCharType="begin"/>
            </w:r>
            <w:r>
              <w:rPr>
                <w:rFonts w:hint="eastAsia" w:ascii="宋体" w:hAnsi="宋体" w:eastAsia="宋体" w:cs="宋体"/>
                <w:snapToGrid w:val="0"/>
                <w:kern w:val="0"/>
                <w:sz w:val="24"/>
                <w:highlight w:val="none"/>
              </w:rPr>
              <w:instrText xml:space="preserve"> = 2 \* GB3 \* MERGEFORMAT </w:instrText>
            </w:r>
            <w:r>
              <w:rPr>
                <w:rFonts w:hint="eastAsia" w:ascii="宋体" w:hAnsi="宋体" w:eastAsia="宋体" w:cs="宋体"/>
                <w:snapToGrid w:val="0"/>
                <w:kern w:val="0"/>
                <w:sz w:val="24"/>
                <w:highlight w:val="none"/>
              </w:rPr>
              <w:fldChar w:fldCharType="separate"/>
            </w:r>
            <w:r>
              <w:rPr>
                <w:rFonts w:hint="eastAsia" w:ascii="宋体" w:hAnsi="宋体" w:eastAsia="宋体" w:cs="宋体"/>
                <w:snapToGrid w:val="0"/>
                <w:kern w:val="0"/>
                <w:sz w:val="24"/>
                <w:highlight w:val="none"/>
              </w:rPr>
              <w:t>②</w:t>
            </w:r>
            <w:r>
              <w:rPr>
                <w:rFonts w:hint="eastAsia" w:ascii="宋体" w:hAnsi="宋体" w:eastAsia="宋体" w:cs="宋体"/>
                <w:snapToGrid w:val="0"/>
                <w:kern w:val="0"/>
                <w:sz w:val="24"/>
                <w:highlight w:val="none"/>
              </w:rPr>
              <w:fldChar w:fldCharType="end"/>
            </w:r>
            <w:r>
              <w:rPr>
                <w:rFonts w:hint="eastAsia" w:ascii="宋体" w:hAnsi="宋体" w:eastAsia="宋体" w:cs="宋体"/>
                <w:snapToGrid w:val="0"/>
                <w:kern w:val="0"/>
                <w:sz w:val="24"/>
                <w:highlight w:val="none"/>
              </w:rPr>
              <w:t>指定现场递交，即交即走。各投标人法定代表人或其委托代理人对投标文件的递交记录情况进行签字确认。指定现场：</w:t>
            </w:r>
            <w:r>
              <w:rPr>
                <w:rFonts w:hint="eastAsia" w:ascii="宋体" w:hAnsi="宋体" w:eastAsia="宋体" w:cs="宋体"/>
                <w:snapToGrid w:val="0"/>
                <w:kern w:val="0"/>
                <w:sz w:val="24"/>
                <w:highlight w:val="none"/>
                <w:u w:val="single"/>
              </w:rPr>
              <w:t>/</w:t>
            </w:r>
            <w:r>
              <w:rPr>
                <w:rFonts w:hint="eastAsia" w:ascii="宋体" w:hAnsi="宋体" w:eastAsia="宋体" w:cs="宋体"/>
                <w:snapToGrid w:val="0"/>
                <w:kern w:val="0"/>
                <w:sz w:val="24"/>
                <w:highlight w:val="none"/>
              </w:rPr>
              <w:t>。</w:t>
            </w:r>
          </w:p>
          <w:p>
            <w:pPr>
              <w:wordWrap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fldChar w:fldCharType="begin"/>
            </w:r>
            <w:r>
              <w:rPr>
                <w:rFonts w:hint="eastAsia" w:ascii="宋体" w:hAnsi="宋体" w:eastAsia="宋体" w:cs="宋体"/>
                <w:snapToGrid w:val="0"/>
                <w:kern w:val="0"/>
                <w:sz w:val="24"/>
                <w:highlight w:val="none"/>
              </w:rPr>
              <w:instrText xml:space="preserve"> = 3 \* GB3 \* MERGEFORMAT </w:instrText>
            </w:r>
            <w:r>
              <w:rPr>
                <w:rFonts w:hint="eastAsia" w:ascii="宋体" w:hAnsi="宋体" w:eastAsia="宋体" w:cs="宋体"/>
                <w:snapToGrid w:val="0"/>
                <w:kern w:val="0"/>
                <w:sz w:val="24"/>
                <w:highlight w:val="none"/>
              </w:rPr>
              <w:fldChar w:fldCharType="separate"/>
            </w:r>
            <w:r>
              <w:rPr>
                <w:rFonts w:hint="eastAsia" w:ascii="宋体" w:hAnsi="宋体" w:eastAsia="宋体" w:cs="宋体"/>
                <w:snapToGrid w:val="0"/>
                <w:kern w:val="0"/>
                <w:sz w:val="24"/>
                <w:highlight w:val="none"/>
              </w:rPr>
              <w:t>③</w:t>
            </w:r>
            <w:r>
              <w:rPr>
                <w:rFonts w:hint="eastAsia" w:ascii="宋体" w:hAnsi="宋体" w:eastAsia="宋体" w:cs="宋体"/>
                <w:snapToGrid w:val="0"/>
                <w:kern w:val="0"/>
                <w:sz w:val="24"/>
                <w:highlight w:val="none"/>
              </w:rPr>
              <w:fldChar w:fldCharType="end"/>
            </w:r>
            <w:r>
              <w:rPr>
                <w:rFonts w:hint="eastAsia" w:ascii="宋体" w:hAnsi="宋体" w:eastAsia="宋体" w:cs="宋体"/>
                <w:snapToGrid w:val="0"/>
                <w:kern w:val="0"/>
                <w:sz w:val="24"/>
                <w:highlight w:val="none"/>
              </w:rPr>
              <w:t>邮寄或快递方式：投标人在投标截止时间之前将投标文件快递或邮寄至</w:t>
            </w:r>
            <w:r>
              <w:rPr>
                <w:rFonts w:hint="eastAsia" w:ascii="宋体" w:hAnsi="宋体" w:eastAsia="宋体" w:cs="宋体"/>
                <w:snapToGrid w:val="0"/>
                <w:kern w:val="0"/>
                <w:sz w:val="24"/>
                <w:highlight w:val="none"/>
                <w:u w:val="single"/>
              </w:rPr>
              <w:t>/</w:t>
            </w:r>
            <w:r>
              <w:rPr>
                <w:rFonts w:hint="eastAsia" w:ascii="宋体" w:hAnsi="宋体" w:eastAsia="宋体" w:cs="宋体"/>
                <w:snapToGrid w:val="0"/>
                <w:kern w:val="0"/>
                <w:sz w:val="24"/>
                <w:highlight w:val="none"/>
              </w:rPr>
              <w:t>。</w:t>
            </w:r>
          </w:p>
          <w:p>
            <w:pPr>
              <w:wordWrap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投标文件按招标文件要求密封后再进行快递或邮寄包裹，包裹上写明“项目名称、投标单位名称信息”。因快递或邮寄包裹拆封后，发现投标文件未按要求包装或密封的，拒绝接受。</w:t>
            </w:r>
          </w:p>
          <w:p>
            <w:pPr>
              <w:pStyle w:val="42"/>
              <w:widowControl/>
              <w:spacing w:line="400" w:lineRule="exact"/>
              <w:ind w:firstLine="0" w:firstLineChars="0"/>
              <w:jc w:val="left"/>
              <w:rPr>
                <w:rFonts w:ascii="宋体" w:hAnsi="宋体" w:eastAsia="宋体" w:cs="宋体"/>
                <w:b/>
                <w:sz w:val="24"/>
                <w:szCs w:val="24"/>
                <w:highlight w:val="none"/>
              </w:rPr>
            </w:pPr>
            <w:r>
              <w:rPr>
                <w:rFonts w:hint="eastAsia" w:ascii="宋体" w:hAnsi="宋体" w:eastAsia="宋体" w:cs="宋体"/>
                <w:snapToGrid w:val="0"/>
                <w:sz w:val="24"/>
                <w:szCs w:val="24"/>
                <w:highlight w:val="none"/>
              </w:rPr>
              <w:t>如果代理机构人员接收快递或邮寄包裹破损的，直接不予签收。收件人：</w:t>
            </w:r>
            <w:r>
              <w:rPr>
                <w:rFonts w:hint="eastAsia" w:ascii="宋体" w:hAnsi="宋体" w:eastAsia="宋体" w:cs="宋体"/>
                <w:snapToGrid w:val="0"/>
                <w:sz w:val="24"/>
                <w:szCs w:val="24"/>
                <w:highlight w:val="none"/>
                <w:u w:val="single"/>
              </w:rPr>
              <w:t>/</w:t>
            </w:r>
            <w:r>
              <w:rPr>
                <w:rFonts w:hint="eastAsia" w:ascii="宋体" w:hAnsi="宋体" w:eastAsia="宋体" w:cs="宋体"/>
                <w:snapToGrid w:val="0"/>
                <w:sz w:val="24"/>
                <w:szCs w:val="24"/>
                <w:highlight w:val="none"/>
              </w:rPr>
              <w:t>，联系电话：</w:t>
            </w:r>
            <w:r>
              <w:rPr>
                <w:rFonts w:hint="eastAsia" w:ascii="宋体" w:hAnsi="宋体" w:eastAsia="宋体" w:cs="宋体"/>
                <w:snapToGrid w:val="0"/>
                <w:sz w:val="24"/>
                <w:szCs w:val="24"/>
                <w:highlight w:val="none"/>
                <w:u w:val="single"/>
              </w:rPr>
              <w:t>/</w:t>
            </w:r>
            <w:r>
              <w:rPr>
                <w:rFonts w:hint="eastAsia" w:ascii="宋体" w:hAnsi="宋体" w:eastAsia="宋体" w:cs="宋体"/>
                <w:snapToGrid w:val="0"/>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4.7.4</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投标截止时间</w:t>
            </w:r>
          </w:p>
        </w:tc>
        <w:tc>
          <w:tcPr>
            <w:tcW w:w="6428" w:type="dxa"/>
            <w:vAlign w:val="center"/>
          </w:tcPr>
          <w:p>
            <w:pPr>
              <w:autoSpaceDE w:val="0"/>
              <w:autoSpaceDN w:val="0"/>
              <w:adjustRightInd w:val="0"/>
              <w:snapToGrid w:val="0"/>
              <w:spacing w:line="400" w:lineRule="exact"/>
              <w:rPr>
                <w:rFonts w:ascii="宋体" w:hAnsi="宋体" w:eastAsia="宋体" w:cs="宋体"/>
                <w:b/>
                <w:sz w:val="24"/>
                <w:highlight w:val="none"/>
              </w:rPr>
            </w:pPr>
            <w:r>
              <w:rPr>
                <w:rFonts w:hint="eastAsia" w:ascii="宋体" w:hAnsi="宋体" w:eastAsia="宋体" w:cs="宋体"/>
                <w:b/>
                <w:sz w:val="24"/>
                <w:highlight w:val="none"/>
              </w:rPr>
              <w:t>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4.8.1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投标有效期</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kern w:val="0"/>
                <w:sz w:val="24"/>
                <w:highlight w:val="none"/>
                <w:u w:val="single"/>
              </w:rPr>
              <w:t>90</w:t>
            </w:r>
            <w:r>
              <w:rPr>
                <w:rFonts w:hint="eastAsia" w:ascii="宋体" w:hAnsi="宋体" w:eastAsia="宋体" w:cs="宋体"/>
                <w:snapToGrid w:val="0"/>
                <w:kern w:val="0"/>
                <w:sz w:val="24"/>
                <w:highlight w:val="none"/>
              </w:rPr>
              <w:t>日历天（从投标截止之日算起）。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开标时间和地点</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开标时间：同投标截止时间。</w:t>
            </w:r>
          </w:p>
          <w:p>
            <w:pPr>
              <w:autoSpaceDE w:val="0"/>
              <w:autoSpaceDN w:val="0"/>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开标地点：同投标文件递交地点。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5.2.1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开标时</w:t>
            </w:r>
          </w:p>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应携带的资料</w:t>
            </w:r>
          </w:p>
        </w:tc>
        <w:tc>
          <w:tcPr>
            <w:tcW w:w="6428" w:type="dxa"/>
            <w:vAlign w:val="center"/>
          </w:tcPr>
          <w:p>
            <w:pPr>
              <w:autoSpaceDE w:val="0"/>
              <w:autoSpaceDN w:val="0"/>
              <w:adjustRightInd w:val="0"/>
              <w:snapToGrid w:val="0"/>
              <w:spacing w:line="400" w:lineRule="exact"/>
              <w:jc w:val="left"/>
              <w:rPr>
                <w:rFonts w:ascii="宋体" w:hAnsi="宋体" w:eastAsia="宋体" w:cs="宋体"/>
                <w:sz w:val="24"/>
                <w:highlight w:val="none"/>
              </w:rPr>
            </w:pPr>
            <w:r>
              <w:rPr>
                <w:rFonts w:hint="eastAsia" w:ascii="宋体" w:hAnsi="宋体" w:eastAsia="宋体" w:cs="宋体"/>
                <w:sz w:val="24"/>
                <w:highlight w:val="none"/>
              </w:rPr>
              <w:t>参加开标的投标人法定代表人或其委托代理人必须携带本人身份证（或驾驶证或公安机关出具的临时身份证明或港澳台胞证或护照）原件（其他诸如市民卡等无效）、法定代表人身份证明（详见第五章“投标文件格式”，委托代理人还须提供授权委托书）原件，</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napToGrid w:val="0"/>
                <w:kern w:val="0"/>
                <w:sz w:val="24"/>
                <w:highlight w:val="none"/>
              </w:rPr>
              <w:t>注：投标文件递交有效（</w:t>
            </w:r>
            <w:r>
              <w:rPr>
                <w:rFonts w:hint="eastAsia" w:ascii="宋体" w:hAnsi="宋体" w:eastAsia="宋体" w:cs="宋体"/>
                <w:sz w:val="24"/>
                <w:highlight w:val="none"/>
              </w:rPr>
              <w:t>投标文件递交有效性以纸质投标文件递交时间为准，下同</w:t>
            </w:r>
            <w:r>
              <w:rPr>
                <w:rFonts w:hint="eastAsia" w:ascii="宋体" w:hAnsi="宋体" w:eastAsia="宋体" w:cs="宋体"/>
                <w:snapToGrid w:val="0"/>
                <w:kern w:val="0"/>
                <w:sz w:val="24"/>
                <w:highlight w:val="none"/>
              </w:rPr>
              <w:t>），而</w:t>
            </w:r>
            <w:r>
              <w:rPr>
                <w:rFonts w:hint="eastAsia" w:ascii="宋体" w:hAnsi="宋体" w:eastAsia="宋体" w:cs="宋体"/>
                <w:sz w:val="24"/>
                <w:highlight w:val="none"/>
              </w:rPr>
              <w:t>投标人法定代表人或其委托代理人未能参加开标或未能携带上述资料的，视同其未参加开标，不得对开标提出异议，进行开标异常情况登记，不影响开标结果，也不作为否决其投标的评审因素。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5.3.1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开标顺序</w:t>
            </w:r>
          </w:p>
        </w:tc>
        <w:tc>
          <w:tcPr>
            <w:tcW w:w="6428" w:type="dxa"/>
            <w:vAlign w:val="center"/>
          </w:tcPr>
          <w:p>
            <w:pPr>
              <w:autoSpaceDE w:val="0"/>
              <w:autoSpaceDN w:val="0"/>
              <w:adjustRightInd w:val="0"/>
              <w:snapToGrid w:val="0"/>
              <w:spacing w:line="400" w:lineRule="exact"/>
              <w:jc w:val="left"/>
              <w:rPr>
                <w:rFonts w:ascii="宋体" w:hAnsi="宋体" w:eastAsia="宋体" w:cs="宋体"/>
                <w:kern w:val="0"/>
                <w:sz w:val="24"/>
                <w:highlight w:val="none"/>
              </w:rPr>
            </w:pPr>
            <w:r>
              <w:rPr>
                <w:rFonts w:hint="eastAsia" w:ascii="宋体" w:hAnsi="宋体" w:eastAsia="宋体" w:cs="宋体"/>
                <w:kern w:val="0"/>
                <w:sz w:val="24"/>
                <w:highlight w:val="none"/>
              </w:rPr>
              <w:t>按照投标文件后递交先启封的顺序确定。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5.5</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投标文件</w:t>
            </w:r>
          </w:p>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拒收、退还</w:t>
            </w:r>
          </w:p>
        </w:tc>
        <w:tc>
          <w:tcPr>
            <w:tcW w:w="6428" w:type="dxa"/>
            <w:vAlign w:val="center"/>
          </w:tcPr>
          <w:p>
            <w:pPr>
              <w:pStyle w:val="8"/>
              <w:adjustRightInd w:val="0"/>
              <w:snapToGrid w:val="0"/>
              <w:spacing w:after="0" w:line="400" w:lineRule="exact"/>
              <w:jc w:val="left"/>
              <w:rPr>
                <w:rFonts w:ascii="宋体" w:hAnsi="宋体" w:cs="宋体"/>
                <w:sz w:val="24"/>
                <w:szCs w:val="24"/>
                <w:highlight w:val="none"/>
              </w:rPr>
            </w:pPr>
            <w:r>
              <w:rPr>
                <w:rFonts w:hint="eastAsia" w:ascii="宋体" w:hAnsi="宋体" w:cs="宋体"/>
                <w:sz w:val="24"/>
                <w:szCs w:val="24"/>
                <w:highlight w:val="none"/>
              </w:rPr>
              <w:t>1.出现以下情形之一的，投标文件将被拒绝接收或予以退还：</w:t>
            </w:r>
          </w:p>
          <w:p>
            <w:pPr>
              <w:pStyle w:val="8"/>
              <w:adjustRightInd w:val="0"/>
              <w:snapToGrid w:val="0"/>
              <w:spacing w:after="0" w:line="400" w:lineRule="exact"/>
              <w:ind w:firstLine="240" w:firstLineChars="100"/>
              <w:jc w:val="left"/>
              <w:rPr>
                <w:rFonts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zh-CN"/>
              </w:rPr>
              <w:t>投标文件逾期送达</w:t>
            </w:r>
            <w:r>
              <w:rPr>
                <w:rFonts w:hint="eastAsia" w:ascii="宋体" w:hAnsi="宋体" w:cs="宋体"/>
                <w:sz w:val="24"/>
                <w:szCs w:val="24"/>
                <w:highlight w:val="none"/>
              </w:rPr>
              <w:t>或</w:t>
            </w:r>
            <w:r>
              <w:rPr>
                <w:rFonts w:hint="eastAsia" w:ascii="宋体" w:hAnsi="宋体" w:cs="宋体"/>
                <w:sz w:val="24"/>
                <w:szCs w:val="24"/>
                <w:highlight w:val="none"/>
                <w:lang w:val="zh-CN"/>
              </w:rPr>
              <w:t>未送达指定地点</w:t>
            </w:r>
            <w:r>
              <w:rPr>
                <w:rFonts w:hint="eastAsia" w:ascii="宋体" w:hAnsi="宋体" w:cs="宋体"/>
                <w:sz w:val="24"/>
                <w:szCs w:val="24"/>
                <w:highlight w:val="none"/>
              </w:rPr>
              <w:t>的，招标人将拒绝接收；</w:t>
            </w:r>
          </w:p>
          <w:p>
            <w:pPr>
              <w:pStyle w:val="8"/>
              <w:adjustRightInd w:val="0"/>
              <w:snapToGrid w:val="0"/>
              <w:spacing w:after="0" w:line="400" w:lineRule="exact"/>
              <w:ind w:firstLine="240" w:firstLineChars="100"/>
              <w:jc w:val="left"/>
              <w:rPr>
                <w:rFonts w:ascii="宋体" w:hAnsi="宋体" w:cs="宋体"/>
                <w:sz w:val="24"/>
                <w:szCs w:val="24"/>
                <w:highlight w:val="none"/>
              </w:rPr>
            </w:pPr>
            <w:r>
              <w:rPr>
                <w:rFonts w:hint="eastAsia" w:ascii="宋体" w:hAnsi="宋体" w:cs="宋体"/>
                <w:sz w:val="24"/>
                <w:szCs w:val="24"/>
                <w:highlight w:val="none"/>
              </w:rPr>
              <w:t>（2）投标人在投标截止时间前提交撤回函的投标文件不予启封，并退还给投标人；</w:t>
            </w:r>
          </w:p>
          <w:p>
            <w:pPr>
              <w:pStyle w:val="8"/>
              <w:adjustRightInd w:val="0"/>
              <w:snapToGrid w:val="0"/>
              <w:spacing w:after="0" w:line="400" w:lineRule="exact"/>
              <w:ind w:firstLine="240" w:firstLineChars="100"/>
              <w:jc w:val="left"/>
              <w:rPr>
                <w:rFonts w:ascii="宋体" w:hAnsi="宋体" w:cs="宋体"/>
                <w:sz w:val="24"/>
                <w:szCs w:val="24"/>
                <w:highlight w:val="none"/>
              </w:rPr>
            </w:pPr>
            <w:r>
              <w:rPr>
                <w:rFonts w:hint="eastAsia" w:ascii="宋体" w:hAnsi="宋体" w:cs="宋体"/>
                <w:sz w:val="24"/>
                <w:szCs w:val="24"/>
                <w:highlight w:val="none"/>
                <w:lang w:val="zh-CN"/>
              </w:rPr>
              <w:t>（</w:t>
            </w:r>
            <w:r>
              <w:rPr>
                <w:rFonts w:hint="eastAsia" w:ascii="宋体" w:hAnsi="宋体" w:cs="宋体"/>
                <w:sz w:val="24"/>
                <w:szCs w:val="24"/>
                <w:highlight w:val="none"/>
              </w:rPr>
              <w:t>3</w:t>
            </w:r>
            <w:r>
              <w:rPr>
                <w:rFonts w:hint="eastAsia" w:ascii="宋体" w:hAnsi="宋体" w:cs="宋体"/>
                <w:sz w:val="24"/>
                <w:szCs w:val="24"/>
                <w:highlight w:val="none"/>
                <w:lang w:val="zh-CN"/>
              </w:rPr>
              <w:t>）投标文件</w:t>
            </w:r>
            <w:r>
              <w:rPr>
                <w:rFonts w:hint="eastAsia" w:ascii="宋体" w:hAnsi="宋体" w:cs="宋体"/>
                <w:sz w:val="24"/>
                <w:szCs w:val="24"/>
                <w:highlight w:val="none"/>
              </w:rPr>
              <w:t>未</w:t>
            </w:r>
            <w:r>
              <w:rPr>
                <w:rFonts w:hint="eastAsia" w:ascii="宋体" w:hAnsi="宋体" w:cs="宋体"/>
                <w:sz w:val="24"/>
                <w:szCs w:val="24"/>
                <w:highlight w:val="none"/>
                <w:lang w:val="zh-CN"/>
              </w:rPr>
              <w:t>按照第4.7款要求密封和标识的，其投标文件</w:t>
            </w:r>
            <w:r>
              <w:rPr>
                <w:rFonts w:hint="eastAsia" w:ascii="宋体" w:hAnsi="宋体" w:cs="宋体"/>
                <w:sz w:val="24"/>
                <w:szCs w:val="24"/>
                <w:highlight w:val="none"/>
              </w:rPr>
              <w:t>不予启封，并退还给投标人；</w:t>
            </w:r>
          </w:p>
          <w:p>
            <w:pPr>
              <w:pStyle w:val="8"/>
              <w:adjustRightInd w:val="0"/>
              <w:snapToGrid w:val="0"/>
              <w:spacing w:after="0" w:line="400" w:lineRule="exact"/>
              <w:ind w:firstLine="240" w:firstLineChars="100"/>
              <w:jc w:val="left"/>
              <w:rPr>
                <w:rFonts w:ascii="宋体" w:hAnsi="宋体" w:cs="宋体"/>
                <w:sz w:val="24"/>
                <w:szCs w:val="24"/>
                <w:highlight w:val="none"/>
              </w:rPr>
            </w:pPr>
            <w:r>
              <w:rPr>
                <w:rFonts w:hint="eastAsia" w:ascii="宋体" w:hAnsi="宋体" w:cs="宋体"/>
                <w:sz w:val="24"/>
                <w:szCs w:val="24"/>
                <w:highlight w:val="none"/>
              </w:rPr>
              <w:t>（4）至投标截止时间，投标人数不足</w:t>
            </w:r>
            <w:r>
              <w:rPr>
                <w:rFonts w:hint="eastAsia" w:ascii="宋体" w:hAnsi="宋体" w:cs="宋体"/>
                <w:sz w:val="24"/>
                <w:szCs w:val="24"/>
                <w:highlight w:val="none"/>
                <w:u w:val="single"/>
              </w:rPr>
              <w:t>3</w:t>
            </w:r>
            <w:r>
              <w:rPr>
                <w:rFonts w:hint="eastAsia" w:ascii="宋体" w:hAnsi="宋体" w:cs="宋体"/>
                <w:sz w:val="24"/>
                <w:szCs w:val="24"/>
                <w:highlight w:val="none"/>
              </w:rPr>
              <w:t>家的不得开标，招标人将投标文件退还投标人。</w:t>
            </w:r>
          </w:p>
          <w:p>
            <w:pPr>
              <w:spacing w:line="400" w:lineRule="exact"/>
              <w:rPr>
                <w:rFonts w:ascii="宋体" w:hAnsi="宋体" w:eastAsia="宋体" w:cs="宋体"/>
                <w:sz w:val="24"/>
                <w:highlight w:val="none"/>
              </w:rPr>
            </w:pPr>
            <w:r>
              <w:rPr>
                <w:rFonts w:hint="eastAsia" w:ascii="宋体" w:hAnsi="宋体" w:eastAsia="宋体" w:cs="宋体"/>
                <w:sz w:val="24"/>
                <w:highlight w:val="none"/>
              </w:rPr>
              <w:t>2.投标文件有下列情形之一的，视为拒收：</w:t>
            </w:r>
          </w:p>
          <w:p>
            <w:pPr>
              <w:spacing w:line="400" w:lineRule="exact"/>
              <w:rPr>
                <w:rFonts w:ascii="宋体" w:hAnsi="宋体" w:eastAsia="宋体" w:cs="宋体"/>
                <w:sz w:val="24"/>
                <w:highlight w:val="none"/>
              </w:rPr>
            </w:pPr>
            <w:r>
              <w:rPr>
                <w:rFonts w:hint="eastAsia" w:ascii="宋体" w:hAnsi="宋体" w:eastAsia="宋体" w:cs="宋体"/>
                <w:sz w:val="24"/>
                <w:highlight w:val="none"/>
              </w:rPr>
              <w:t>（1）投标文件份数不满足要求的；</w:t>
            </w:r>
          </w:p>
          <w:p>
            <w:pPr>
              <w:spacing w:line="400" w:lineRule="exact"/>
              <w:rPr>
                <w:rFonts w:ascii="宋体" w:hAnsi="宋体" w:eastAsia="宋体" w:cs="宋体"/>
                <w:sz w:val="24"/>
                <w:highlight w:val="none"/>
              </w:rPr>
            </w:pPr>
            <w:r>
              <w:rPr>
                <w:rFonts w:hint="eastAsia" w:ascii="宋体" w:hAnsi="宋体" w:eastAsia="宋体" w:cs="宋体"/>
                <w:sz w:val="24"/>
                <w:highlight w:val="none"/>
              </w:rPr>
              <w:t>（2）纸质投标文件不符合装订要求的。</w:t>
            </w:r>
          </w:p>
          <w:p>
            <w:pPr>
              <w:spacing w:line="400" w:lineRule="exact"/>
              <w:rPr>
                <w:rFonts w:ascii="宋体" w:hAnsi="宋体" w:eastAsia="宋体" w:cs="宋体"/>
                <w:sz w:val="24"/>
                <w:highlight w:val="none"/>
              </w:rPr>
            </w:pPr>
            <w:r>
              <w:rPr>
                <w:rFonts w:hint="eastAsia" w:ascii="宋体" w:hAnsi="宋体" w:eastAsia="宋体" w:cs="宋体"/>
                <w:sz w:val="24"/>
                <w:highlight w:val="none"/>
              </w:rPr>
              <w:t>3.开标后不退还投标文件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评标委员会的组建</w:t>
            </w:r>
          </w:p>
        </w:tc>
        <w:tc>
          <w:tcPr>
            <w:tcW w:w="6428" w:type="dxa"/>
            <w:vAlign w:val="center"/>
          </w:tcPr>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评标委员会由招标人依法组建，评标委员会由</w:t>
            </w:r>
            <w:r>
              <w:rPr>
                <w:rFonts w:hint="eastAsia" w:ascii="宋体" w:hAnsi="宋体" w:eastAsia="宋体" w:cs="宋体"/>
                <w:sz w:val="24"/>
                <w:highlight w:val="none"/>
                <w:u w:val="single"/>
              </w:rPr>
              <w:t xml:space="preserve"> 5 </w:t>
            </w:r>
            <w:r>
              <w:rPr>
                <w:rFonts w:hint="eastAsia" w:ascii="宋体" w:hAnsi="宋体" w:eastAsia="宋体" w:cs="宋体"/>
                <w:sz w:val="24"/>
                <w:highlight w:val="none"/>
              </w:rPr>
              <w:t>人及以上单数组成，其中招标人代表不超过三分之一。</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评标委员会组成方式：由招标人代表和有关技术、经济方面的专家组成。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6.3.2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评标办法</w:t>
            </w:r>
          </w:p>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及否决投标条款</w:t>
            </w:r>
          </w:p>
        </w:tc>
        <w:tc>
          <w:tcPr>
            <w:tcW w:w="6428" w:type="dxa"/>
            <w:vAlign w:val="center"/>
          </w:tcPr>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napToGrid w:val="0"/>
                <w:sz w:val="24"/>
                <w:highlight w:val="none"/>
              </w:rPr>
              <w:t>☑</w:t>
            </w:r>
            <w:bookmarkStart w:id="6" w:name="OLE_LINK2"/>
            <w:r>
              <w:rPr>
                <w:rFonts w:hint="eastAsia" w:ascii="宋体" w:hAnsi="宋体" w:eastAsia="宋体" w:cs="宋体"/>
                <w:sz w:val="24"/>
                <w:highlight w:val="none"/>
              </w:rPr>
              <w:t>综合评分法</w:t>
            </w:r>
            <w:bookmarkEnd w:id="6"/>
          </w:p>
          <w:p>
            <w:pPr>
              <w:autoSpaceDE w:val="0"/>
              <w:autoSpaceDN w:val="0"/>
              <w:adjustRightInd w:val="0"/>
              <w:snapToGrid w:val="0"/>
              <w:spacing w:line="400" w:lineRule="exact"/>
              <w:rPr>
                <w:rFonts w:ascii="宋体" w:hAnsi="宋体" w:eastAsia="宋体" w:cs="宋体"/>
                <w:sz w:val="24"/>
                <w:highlight w:val="none"/>
              </w:rPr>
            </w:pPr>
            <w:r>
              <w:rPr>
                <w:rFonts w:hint="eastAsia" w:ascii="Segoe UI Emoji" w:hAnsi="Segoe UI Emoji" w:eastAsia="宋体" w:cs="Segoe UI Emoji"/>
                <w:sz w:val="24"/>
                <w:highlight w:val="none"/>
              </w:rPr>
              <w:t>□</w:t>
            </w:r>
            <w:r>
              <w:rPr>
                <w:rFonts w:hint="eastAsia" w:ascii="宋体" w:hAnsi="宋体" w:eastAsia="宋体" w:cs="宋体"/>
                <w:sz w:val="24"/>
                <w:highlight w:val="none"/>
              </w:rPr>
              <w:t>经评审最低价法</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□其他：</w:t>
            </w:r>
            <w:r>
              <w:rPr>
                <w:rFonts w:hint="eastAsia" w:ascii="宋体" w:hAnsi="宋体" w:eastAsia="宋体" w:cs="宋体"/>
                <w:sz w:val="24"/>
                <w:highlight w:val="none"/>
                <w:u w:val="single"/>
              </w:rPr>
              <w:t>/</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否决投标条款：详见招标文件第四章“评标办法及评价标准”。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6.3.3</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评标委员会推荐中标候选人的数量</w:t>
            </w:r>
          </w:p>
        </w:tc>
        <w:tc>
          <w:tcPr>
            <w:tcW w:w="6428" w:type="dxa"/>
            <w:vAlign w:val="center"/>
          </w:tcPr>
          <w:p>
            <w:pPr>
              <w:autoSpaceDE w:val="0"/>
              <w:autoSpaceDN w:val="0"/>
              <w:snapToGrid w:val="0"/>
              <w:spacing w:line="400" w:lineRule="exact"/>
              <w:rPr>
                <w:rFonts w:ascii="宋体" w:hAnsi="宋体" w:eastAsia="宋体" w:cs="宋体"/>
                <w:sz w:val="24"/>
                <w:highlight w:val="none"/>
              </w:rPr>
            </w:pPr>
            <w:r>
              <w:rPr>
                <w:rFonts w:hint="eastAsia" w:ascii="宋体" w:hAnsi="宋体" w:eastAsia="宋体" w:cs="宋体"/>
                <w:sz w:val="24"/>
                <w:highlight w:val="none"/>
                <w:u w:val="single"/>
              </w:rPr>
              <w:t xml:space="preserve"> 1个</w:t>
            </w:r>
            <w:r>
              <w:rPr>
                <w:rFonts w:hint="eastAsia" w:ascii="宋体" w:hAnsi="宋体" w:eastAsia="宋体" w:cs="宋体"/>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8.2.1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履约保证金</w:t>
            </w:r>
          </w:p>
        </w:tc>
        <w:tc>
          <w:tcPr>
            <w:tcW w:w="6428" w:type="dxa"/>
            <w:vAlign w:val="center"/>
          </w:tcPr>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是否要求中标人缴纳履约保证金：</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 xml:space="preserve">□ </w:t>
            </w:r>
            <w:r>
              <w:rPr>
                <w:rFonts w:hint="eastAsia"/>
                <w:snapToGrid w:val="0"/>
                <w:sz w:val="24"/>
                <w:szCs w:val="24"/>
                <w:highlight w:val="none"/>
              </w:rPr>
              <w:t>不</w:t>
            </w:r>
            <w:r>
              <w:rPr>
                <w:rFonts w:hint="eastAsia"/>
                <w:snapToGrid w:val="0"/>
                <w:sz w:val="24"/>
                <w:szCs w:val="24"/>
                <w:highlight w:val="none"/>
                <w:lang w:eastAsia="zh-CN"/>
              </w:rPr>
              <w:t>要求</w:t>
            </w:r>
          </w:p>
          <w:p>
            <w:pPr>
              <w:pStyle w:val="46"/>
              <w:snapToGrid w:val="0"/>
              <w:spacing w:line="400" w:lineRule="exact"/>
              <w:ind w:right="64" w:rightChars="20"/>
              <w:jc w:val="both"/>
              <w:rPr>
                <w:snapToGrid w:val="0"/>
                <w:sz w:val="24"/>
                <w:szCs w:val="24"/>
                <w:highlight w:val="none"/>
                <w:lang w:eastAsia="zh-CN"/>
              </w:rPr>
            </w:pPr>
            <w:r>
              <w:rPr>
                <w:rFonts w:ascii="Segoe UI Emoji" w:hAnsi="Segoe UI Emoji" w:cs="Segoe UI Emoji"/>
                <w:sz w:val="24"/>
                <w:szCs w:val="24"/>
                <w:highlight w:val="none"/>
                <w:lang w:eastAsia="zh-CN"/>
              </w:rPr>
              <w:t>☑</w:t>
            </w:r>
            <w:r>
              <w:rPr>
                <w:rFonts w:hint="eastAsia"/>
                <w:snapToGrid w:val="0"/>
                <w:sz w:val="24"/>
                <w:szCs w:val="24"/>
                <w:highlight w:val="none"/>
              </w:rPr>
              <w:t>要求</w:t>
            </w:r>
            <w:r>
              <w:rPr>
                <w:rFonts w:hint="eastAsia"/>
                <w:snapToGrid w:val="0"/>
                <w:sz w:val="24"/>
                <w:szCs w:val="24"/>
                <w:highlight w:val="none"/>
                <w:lang w:eastAsia="zh-CN"/>
              </w:rPr>
              <w:t>，具体如下</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1、履约保证金缴纳信息：</w:t>
            </w:r>
          </w:p>
          <w:p>
            <w:pPr>
              <w:pStyle w:val="46"/>
              <w:snapToGrid w:val="0"/>
              <w:spacing w:line="400" w:lineRule="exact"/>
              <w:ind w:right="64" w:rightChars="20"/>
              <w:jc w:val="both"/>
              <w:rPr>
                <w:b/>
                <w:bCs/>
                <w:snapToGrid w:val="0"/>
                <w:sz w:val="24"/>
                <w:szCs w:val="24"/>
                <w:highlight w:val="none"/>
                <w:lang w:eastAsia="zh-CN"/>
              </w:rPr>
            </w:pPr>
            <w:r>
              <w:rPr>
                <w:rFonts w:hint="eastAsia"/>
                <w:b/>
                <w:bCs/>
                <w:snapToGrid w:val="0"/>
                <w:sz w:val="24"/>
                <w:szCs w:val="24"/>
                <w:highlight w:val="none"/>
                <w:lang w:eastAsia="zh-CN"/>
              </w:rPr>
              <w:t>履约保证金合同价的5%</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账户信息：</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收款人： 杭州临江环境能源有限公司</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开户行： 杭州银行大江东支行</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账  号： 3301040160008775754</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缴纳形式：电汇/转账</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缴纳时间：中标通知书领取之后，合同签订之前。</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2、其他说明：</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投标人在履约保证金缴纳时必须注明项目名称和招标编号。</w:t>
            </w:r>
          </w:p>
          <w:p>
            <w:pPr>
              <w:pStyle w:val="46"/>
              <w:snapToGrid w:val="0"/>
              <w:spacing w:line="400" w:lineRule="exact"/>
              <w:ind w:right="64" w:rightChars="20"/>
              <w:jc w:val="both"/>
              <w:rPr>
                <w:snapToGrid w:val="0"/>
                <w:sz w:val="24"/>
                <w:szCs w:val="24"/>
                <w:highlight w:val="none"/>
                <w:lang w:eastAsia="zh-CN"/>
              </w:rPr>
            </w:pPr>
            <w:r>
              <w:rPr>
                <w:rFonts w:hint="eastAsia"/>
                <w:snapToGrid w:val="0"/>
                <w:sz w:val="24"/>
                <w:szCs w:val="24"/>
                <w:highlight w:val="none"/>
                <w:lang w:eastAsia="zh-CN"/>
              </w:rPr>
              <w:t>投标人应将履约保证金的缴纳凭证在合同签订前提交，如超出期限未缴纳的，招标人将视其拒绝履行投标承诺，招标人有权单方取消其中标资格，并有权扣除其全部投标保证金。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b/>
                <w:snapToGrid w:val="0"/>
                <w:kern w:val="0"/>
                <w:sz w:val="24"/>
                <w:highlight w:val="none"/>
              </w:rPr>
            </w:pPr>
            <w:r>
              <w:rPr>
                <w:rFonts w:hint="eastAsia" w:ascii="宋体" w:hAnsi="宋体" w:eastAsia="宋体" w:cs="宋体"/>
                <w:b/>
                <w:snapToGrid w:val="0"/>
                <w:kern w:val="0"/>
                <w:sz w:val="24"/>
                <w:highlight w:val="none"/>
              </w:rPr>
              <w:t>11.1</w:t>
            </w:r>
          </w:p>
        </w:tc>
        <w:tc>
          <w:tcPr>
            <w:tcW w:w="8339" w:type="dxa"/>
            <w:gridSpan w:val="2"/>
            <w:vAlign w:val="center"/>
          </w:tcPr>
          <w:p>
            <w:pPr>
              <w:autoSpaceDE w:val="0"/>
              <w:autoSpaceDN w:val="0"/>
              <w:adjustRightInd w:val="0"/>
              <w:snapToGrid w:val="0"/>
              <w:spacing w:line="400" w:lineRule="exact"/>
              <w:jc w:val="center"/>
              <w:rPr>
                <w:rFonts w:ascii="宋体" w:hAnsi="宋体" w:eastAsia="宋体" w:cs="宋体"/>
                <w:b/>
                <w:snapToGrid w:val="0"/>
                <w:kern w:val="0"/>
                <w:sz w:val="24"/>
                <w:highlight w:val="none"/>
              </w:rPr>
            </w:pPr>
            <w:r>
              <w:rPr>
                <w:rFonts w:hint="eastAsia" w:ascii="宋体" w:hAnsi="宋体" w:eastAsia="宋体" w:cs="宋体"/>
                <w:b/>
                <w:snapToGrid w:val="0"/>
                <w:kern w:val="0"/>
                <w:sz w:val="24"/>
                <w:highlight w:val="none"/>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备注</w:t>
            </w:r>
          </w:p>
        </w:tc>
        <w:tc>
          <w:tcPr>
            <w:tcW w:w="6428" w:type="dxa"/>
            <w:vAlign w:val="center"/>
          </w:tcPr>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本招标文件由招标人负责解释。</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投标人须知内容和本前附表内容不一致的，以本前附表中所载内容为准。</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3）如发现招标文件及其评标办法中存在含糊不清、相互矛盾、多种含义以及歧视性不公正条款或违法违规内容时，请在投标人须知2.3.1项规定的提出问题截止时间前同时向招标人或招标代理机构以指定的书面形式反映，逾期不再受理对招标文件条款提出的问题。</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（4）招标文件中打▲符号的条款为实质性条款，不满足的按无效标处理。</w:t>
            </w:r>
          </w:p>
          <w:p>
            <w:pPr>
              <w:autoSpaceDE w:val="0"/>
              <w:autoSpaceDN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（5）招标人认为需要补充的其他内容：</w:t>
            </w:r>
            <w:r>
              <w:rPr>
                <w:rFonts w:hint="eastAsia" w:ascii="宋体" w:hAnsi="宋体" w:eastAsia="宋体" w:cs="宋体"/>
                <w:sz w:val="24"/>
                <w:highlight w:val="none"/>
                <w:u w:val="single"/>
              </w:rPr>
              <w:t xml:space="preserve"> / </w:t>
            </w:r>
            <w:r>
              <w:rPr>
                <w:rFonts w:hint="eastAsia" w:ascii="宋体" w:hAnsi="宋体" w:eastAsia="宋体" w:cs="宋体"/>
                <w:sz w:val="24"/>
                <w:highlight w:val="none"/>
              </w:rPr>
              <w:t xml:space="preserve">。   </w:t>
            </w:r>
          </w:p>
        </w:tc>
      </w:tr>
    </w:tbl>
    <w:p>
      <w:pPr>
        <w:spacing w:line="400" w:lineRule="exact"/>
        <w:rPr>
          <w:rFonts w:ascii="宋体" w:hAnsi="宋体" w:eastAsia="宋体" w:cs="宋体"/>
          <w:b/>
          <w:snapToGrid w:val="0"/>
          <w:kern w:val="0"/>
          <w:sz w:val="24"/>
          <w:highlight w:val="none"/>
        </w:rPr>
      </w:pPr>
      <w:bookmarkStart w:id="7" w:name="_Toc83886015"/>
      <w:bookmarkStart w:id="8" w:name="_Toc32085"/>
    </w:p>
    <w:p>
      <w:pPr>
        <w:spacing w:line="400" w:lineRule="exact"/>
        <w:rPr>
          <w:rFonts w:ascii="宋体" w:hAnsi="宋体" w:eastAsia="宋体" w:cs="宋体"/>
          <w:b/>
          <w:snapToGrid w:val="0"/>
          <w:kern w:val="0"/>
          <w:sz w:val="24"/>
          <w:highlight w:val="none"/>
        </w:rPr>
      </w:pPr>
    </w:p>
    <w:p>
      <w:pPr>
        <w:spacing w:line="400" w:lineRule="exact"/>
        <w:rPr>
          <w:rFonts w:ascii="宋体" w:hAnsi="宋体" w:eastAsia="宋体" w:cs="宋体"/>
          <w:b/>
          <w:snapToGrid w:val="0"/>
          <w:kern w:val="0"/>
          <w:sz w:val="24"/>
          <w:highlight w:val="none"/>
        </w:rPr>
      </w:pPr>
    </w:p>
    <w:p>
      <w:pPr>
        <w:rPr>
          <w:rFonts w:ascii="宋体" w:hAnsi="宋体" w:eastAsia="宋体" w:cs="宋体"/>
          <w:b/>
          <w:snapToGrid w:val="0"/>
          <w:kern w:val="0"/>
          <w:sz w:val="24"/>
          <w:highlight w:val="none"/>
        </w:rPr>
      </w:pPr>
      <w:r>
        <w:rPr>
          <w:rFonts w:hint="eastAsia" w:ascii="宋体" w:hAnsi="宋体" w:eastAsia="宋体" w:cs="宋体"/>
          <w:b/>
          <w:snapToGrid w:val="0"/>
          <w:kern w:val="0"/>
          <w:sz w:val="24"/>
          <w:highlight w:val="none"/>
        </w:rPr>
        <w:br w:type="page"/>
      </w:r>
      <w:r>
        <w:rPr>
          <w:rFonts w:hint="eastAsia" w:ascii="宋体" w:hAnsi="宋体" w:eastAsia="宋体" w:cs="宋体"/>
          <w:b/>
          <w:snapToGrid w:val="0"/>
          <w:kern w:val="0"/>
          <w:sz w:val="24"/>
          <w:highlight w:val="none"/>
        </w:rPr>
        <w:t>1、总则</w:t>
      </w:r>
      <w:bookmarkEnd w:id="7"/>
      <w:bookmarkEnd w:id="8"/>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9" w:name="_Toc26216"/>
      <w:r>
        <w:rPr>
          <w:rFonts w:hint="eastAsia" w:ascii="宋体" w:hAnsi="宋体" w:eastAsia="宋体" w:cs="宋体"/>
          <w:b/>
          <w:bCs/>
          <w:snapToGrid w:val="0"/>
          <w:kern w:val="0"/>
          <w:sz w:val="24"/>
          <w:highlight w:val="none"/>
        </w:rPr>
        <w:t>1.1项目</w:t>
      </w:r>
      <w:bookmarkEnd w:id="9"/>
      <w:r>
        <w:rPr>
          <w:rFonts w:hint="eastAsia" w:ascii="宋体" w:hAnsi="宋体" w:eastAsia="宋体" w:cs="宋体"/>
          <w:b/>
          <w:bCs/>
          <w:snapToGrid w:val="0"/>
          <w:kern w:val="0"/>
          <w:sz w:val="24"/>
          <w:highlight w:val="none"/>
        </w:rPr>
        <w:t>说明</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u w:val="single"/>
        </w:rPr>
      </w:pPr>
      <w:bookmarkStart w:id="10" w:name="_Toc6246"/>
      <w:r>
        <w:rPr>
          <w:rFonts w:hint="eastAsia" w:ascii="宋体" w:hAnsi="宋体" w:cs="宋体"/>
          <w:snapToGrid w:val="0"/>
          <w:kern w:val="0"/>
          <w:sz w:val="24"/>
          <w:szCs w:val="24"/>
          <w:highlight w:val="none"/>
        </w:rPr>
        <w:t>1.1.1本项目招标适用以下规定：《中华人民共和国招标投标法》《中华人民共和国招标投标法实施条例》。</w:t>
      </w:r>
    </w:p>
    <w:bookmarkEnd w:id="10"/>
    <w:p>
      <w:pPr>
        <w:pStyle w:val="8"/>
        <w:adjustRightInd w:val="0"/>
        <w:snapToGrid w:val="0"/>
        <w:spacing w:after="0" w:line="400" w:lineRule="exact"/>
        <w:ind w:firstLine="480" w:firstLineChars="200"/>
        <w:jc w:val="left"/>
        <w:rPr>
          <w:rFonts w:ascii="宋体" w:hAnsi="宋体" w:cs="宋体"/>
          <w:snapToGrid w:val="0"/>
          <w:kern w:val="0"/>
          <w:sz w:val="24"/>
          <w:szCs w:val="24"/>
          <w:highlight w:val="none"/>
          <w:u w:val="single"/>
        </w:rPr>
      </w:pPr>
      <w:bookmarkStart w:id="11" w:name="_Toc9136"/>
      <w:r>
        <w:rPr>
          <w:rFonts w:hint="eastAsia" w:ascii="宋体" w:hAnsi="宋体" w:cs="宋体"/>
          <w:snapToGrid w:val="0"/>
          <w:kern w:val="0"/>
          <w:sz w:val="24"/>
          <w:szCs w:val="24"/>
          <w:highlight w:val="none"/>
        </w:rPr>
        <w:t>1.1.2招标组织形式：见投标人须知前附表。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1.1.3招标人：提出招标项目、进行招标的法人或者其他组织。见投标人须知前附表。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1.1.4招标人：即业主，是合同中明确规定的实际购买货物和服务的法人或其他组织和自然人。见投标人须知前附表。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1.1.5招标代理机构：见投标人须知前附表。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1.1.6项目概况：见投标人须知前附表。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1.2资金来源</w:t>
      </w:r>
      <w:bookmarkEnd w:id="11"/>
      <w:r>
        <w:rPr>
          <w:rFonts w:hint="eastAsia" w:ascii="宋体" w:hAnsi="宋体" w:eastAsia="宋体" w:cs="宋体"/>
          <w:b/>
          <w:bCs/>
          <w:snapToGrid w:val="0"/>
          <w:kern w:val="0"/>
          <w:sz w:val="24"/>
          <w:highlight w:val="none"/>
        </w:rPr>
        <w:t>和落实情况</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bookmarkStart w:id="12" w:name="_Toc10673"/>
      <w:r>
        <w:rPr>
          <w:rFonts w:hint="eastAsia" w:ascii="宋体" w:hAnsi="宋体" w:cs="宋体"/>
          <w:snapToGrid w:val="0"/>
          <w:kern w:val="0"/>
          <w:sz w:val="24"/>
          <w:szCs w:val="24"/>
          <w:highlight w:val="none"/>
        </w:rPr>
        <w:t>1.2.1资金来源及落实情况：见投标人须知前附表。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1.3招标范围及内容</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1.3.1招标范围及内容：见投标人须知前附表。</w:t>
      </w:r>
    </w:p>
    <w:bookmarkEnd w:id="12"/>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13" w:name="_Toc13012"/>
      <w:r>
        <w:rPr>
          <w:rFonts w:hint="eastAsia" w:ascii="宋体" w:hAnsi="宋体" w:eastAsia="宋体" w:cs="宋体"/>
          <w:b/>
          <w:bCs/>
          <w:snapToGrid w:val="0"/>
          <w:kern w:val="0"/>
          <w:sz w:val="24"/>
          <w:highlight w:val="none"/>
        </w:rPr>
        <w:t>1.4投标人</w:t>
      </w:r>
      <w:bookmarkEnd w:id="13"/>
      <w:r>
        <w:rPr>
          <w:rFonts w:hint="eastAsia" w:ascii="宋体" w:hAnsi="宋体" w:eastAsia="宋体" w:cs="宋体"/>
          <w:b/>
          <w:bCs/>
          <w:snapToGrid w:val="0"/>
          <w:kern w:val="0"/>
          <w:sz w:val="24"/>
          <w:highlight w:val="none"/>
        </w:rPr>
        <w:t>资格审查方式、资格条件</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1.4.1投标人资格审查方式：见投标人须知前附表。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1.4.2投标人资格条件：见投标人须知前附表。</w:t>
      </w:r>
    </w:p>
    <w:p>
      <w:pPr>
        <w:adjustRightInd w:val="0"/>
        <w:snapToGrid w:val="0"/>
        <w:spacing w:line="400" w:lineRule="exact"/>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1.5联合体投标</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1.5.1本项目是否接受联合体投标：见投标人须知前附表。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1.5.2投标人须知前附表规定接受联合体投标的，联合体应满足以下要求：</w:t>
      </w:r>
    </w:p>
    <w:p>
      <w:pPr>
        <w:pStyle w:val="21"/>
        <w:adjustRightInd w:val="0"/>
        <w:snapToGrid w:val="0"/>
        <w:spacing w:before="0" w:beforeAutospacing="0" w:after="0" w:afterAutospacing="0" w:line="400" w:lineRule="exact"/>
        <w:ind w:left="160" w:leftChars="50" w:firstLine="360" w:firstLineChars="150"/>
        <w:rPr>
          <w:rFonts w:cs="宋体"/>
          <w:kern w:val="2"/>
          <w:highlight w:val="none"/>
        </w:rPr>
      </w:pPr>
      <w:r>
        <w:rPr>
          <w:rFonts w:hint="eastAsia" w:cs="宋体"/>
          <w:kern w:val="2"/>
          <w:highlight w:val="none"/>
        </w:rPr>
        <w:t>1）符合《中华人民共和国招标投标法》、《中华人民共和国招标投标法实施条例》的规定；</w:t>
      </w:r>
    </w:p>
    <w:p>
      <w:pPr>
        <w:pStyle w:val="21"/>
        <w:adjustRightInd w:val="0"/>
        <w:snapToGrid w:val="0"/>
        <w:spacing w:before="0" w:beforeAutospacing="0" w:after="0" w:afterAutospacing="0" w:line="400" w:lineRule="exact"/>
        <w:ind w:left="160" w:leftChars="50" w:firstLine="360" w:firstLineChars="150"/>
        <w:rPr>
          <w:rFonts w:cs="宋体"/>
          <w:kern w:val="2"/>
          <w:highlight w:val="none"/>
        </w:rPr>
      </w:pPr>
      <w:r>
        <w:rPr>
          <w:rFonts w:hint="eastAsia" w:cs="宋体"/>
          <w:kern w:val="2"/>
          <w:highlight w:val="none"/>
        </w:rPr>
        <w:t>2）以联合体形式参加投标的，应当提交联合体协议，指定牵头人并出具由联合体成员各方共同签署的投标授权书；</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3）除非另有规定或说明，本招标文件中“投标人”一词亦指联合体各成员。</w:t>
      </w:r>
    </w:p>
    <w:p>
      <w:pPr>
        <w:adjustRightInd w:val="0"/>
        <w:snapToGrid w:val="0"/>
        <w:spacing w:line="400" w:lineRule="exact"/>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1.6关联性投标</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1.6.1项目关联性投标要求：见投标人须知前附表。</w:t>
      </w:r>
    </w:p>
    <w:p>
      <w:pPr>
        <w:adjustRightInd w:val="0"/>
        <w:snapToGrid w:val="0"/>
        <w:spacing w:line="400" w:lineRule="exact"/>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1.7分包</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1.7.1本项目是否允许分包：见投标人须知前附表。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1.7.2投标人拟在中标后将中标项目的非主体、非关键部分工作进行分包的，应满足以下要求：</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1）符合投标人须知前附表规定的分包内容、分包金额要求，除投标人须知前附表规定的非主体、非关键部分工作外，其他工作不得分包。</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2）接受分包一方应当具备相应的资格条件，并不得再次分包。中标人应当就分包内容向招标人负责，接受分包一方就分包内容承担连带责任。</w:t>
      </w:r>
    </w:p>
    <w:p>
      <w:pPr>
        <w:adjustRightInd w:val="0"/>
        <w:snapToGrid w:val="0"/>
        <w:spacing w:line="400" w:lineRule="exact"/>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1.8响应和偏差</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1.8.1投标文件应当对招标文件中的实质性要求和条件（属于实质性要求条款的，是指在第三章“用户需求及技术要求”中用符号“▲”标注或列入第四章“评标方法及评价标准”中否决投标的全部条款，否则属于非实质性要求条款，下同。）作出满足性或更有利于招标人的明确响应。</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1.8.2投标文件对招标文件的全部偏差，均应在投标文件的商务和技术偏离表中列明，除列明的内容外，视为投标人响应招标文件的全部要求。</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1.8.3评标委员会根据招标文件第四章“评标方法及评价标准”全面衡量投标人技术、资信、商务或其他存在不满足、不符合招标要求的偏差及对招标文件的响应情况，以确定其是否满足招标文件的实质性要求。</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14" w:name="_Toc3996"/>
      <w:r>
        <w:rPr>
          <w:rFonts w:hint="eastAsia" w:ascii="宋体" w:hAnsi="宋体" w:eastAsia="宋体" w:cs="宋体"/>
          <w:b/>
          <w:bCs/>
          <w:snapToGrid w:val="0"/>
          <w:kern w:val="0"/>
          <w:sz w:val="24"/>
          <w:highlight w:val="none"/>
        </w:rPr>
        <w:t>1.</w:t>
      </w:r>
      <w:bookmarkEnd w:id="14"/>
      <w:r>
        <w:rPr>
          <w:rFonts w:hint="eastAsia" w:ascii="宋体" w:hAnsi="宋体" w:eastAsia="宋体" w:cs="宋体"/>
          <w:b/>
          <w:bCs/>
          <w:snapToGrid w:val="0"/>
          <w:kern w:val="0"/>
          <w:sz w:val="24"/>
          <w:highlight w:val="none"/>
        </w:rPr>
        <w:t>9投标费用</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1.9.1投标人在投标过程中的一切费用，不论中标与否，均由投标人自理。</w:t>
      </w:r>
    </w:p>
    <w:p>
      <w:pPr>
        <w:pStyle w:val="5"/>
        <w:spacing w:line="400" w:lineRule="exact"/>
        <w:rPr>
          <w:rFonts w:cs="宋体"/>
          <w:snapToGrid w:val="0"/>
          <w:sz w:val="24"/>
          <w:szCs w:val="24"/>
          <w:highlight w:val="none"/>
        </w:rPr>
      </w:pPr>
      <w:bookmarkStart w:id="15" w:name="_Toc246996924"/>
      <w:bookmarkStart w:id="16" w:name="_Toc152042312"/>
      <w:bookmarkStart w:id="17" w:name="_Toc246996181"/>
      <w:bookmarkStart w:id="18" w:name="_Toc179632553"/>
      <w:bookmarkStart w:id="19" w:name="_Toc296602426"/>
      <w:bookmarkStart w:id="20" w:name="_Toc152045536"/>
      <w:bookmarkStart w:id="21" w:name="_Toc247085695"/>
      <w:bookmarkStart w:id="22" w:name="_Toc144974504"/>
      <w:r>
        <w:rPr>
          <w:rFonts w:hint="eastAsia" w:cs="宋体"/>
          <w:snapToGrid w:val="0"/>
          <w:sz w:val="24"/>
          <w:szCs w:val="24"/>
          <w:highlight w:val="none"/>
        </w:rPr>
        <w:t>1.10保密</w:t>
      </w:r>
      <w:bookmarkEnd w:id="15"/>
      <w:bookmarkEnd w:id="16"/>
      <w:bookmarkEnd w:id="17"/>
      <w:bookmarkEnd w:id="18"/>
      <w:bookmarkEnd w:id="19"/>
      <w:bookmarkEnd w:id="20"/>
      <w:bookmarkEnd w:id="21"/>
      <w:bookmarkEnd w:id="22"/>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1.10.1参加招标投标活动的各方应对招投标过程中应当保密的信息资料及招标文件、投标文件中的商业和技术秘密保密，否则应承担相应的法律责任。</w:t>
      </w:r>
    </w:p>
    <w:p>
      <w:pPr>
        <w:pStyle w:val="5"/>
        <w:spacing w:line="400" w:lineRule="exact"/>
        <w:rPr>
          <w:rFonts w:cs="宋体"/>
          <w:snapToGrid w:val="0"/>
          <w:sz w:val="24"/>
          <w:szCs w:val="24"/>
          <w:highlight w:val="none"/>
        </w:rPr>
      </w:pPr>
      <w:r>
        <w:rPr>
          <w:rFonts w:hint="eastAsia" w:cs="宋体"/>
          <w:snapToGrid w:val="0"/>
          <w:sz w:val="24"/>
          <w:szCs w:val="24"/>
          <w:highlight w:val="none"/>
        </w:rPr>
        <w:t>1.11语言文字</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1.11.1招标投标文件使用的语言文字为中文。专用术语使用外文的，应附有中文注释。</w:t>
      </w:r>
    </w:p>
    <w:p>
      <w:pPr>
        <w:pStyle w:val="5"/>
        <w:spacing w:line="400" w:lineRule="exact"/>
        <w:rPr>
          <w:rFonts w:cs="宋体"/>
          <w:snapToGrid w:val="0"/>
          <w:sz w:val="24"/>
          <w:szCs w:val="24"/>
          <w:highlight w:val="none"/>
        </w:rPr>
      </w:pPr>
      <w:bookmarkStart w:id="23" w:name="_bookmark28"/>
      <w:bookmarkEnd w:id="23"/>
      <w:r>
        <w:rPr>
          <w:rFonts w:hint="eastAsia" w:cs="宋体"/>
          <w:snapToGrid w:val="0"/>
          <w:sz w:val="24"/>
          <w:szCs w:val="24"/>
          <w:highlight w:val="none"/>
        </w:rPr>
        <w:t>1.12计量单位</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1.12.1所有计量均采用中华人民共和国法定计量单位。</w:t>
      </w:r>
    </w:p>
    <w:p>
      <w:pPr>
        <w:pStyle w:val="5"/>
        <w:spacing w:line="400" w:lineRule="exact"/>
        <w:rPr>
          <w:rFonts w:cs="宋体"/>
          <w:snapToGrid w:val="0"/>
          <w:sz w:val="24"/>
          <w:szCs w:val="24"/>
          <w:highlight w:val="none"/>
        </w:rPr>
      </w:pPr>
      <w:r>
        <w:rPr>
          <w:rFonts w:hint="eastAsia" w:cs="宋体"/>
          <w:snapToGrid w:val="0"/>
          <w:sz w:val="24"/>
          <w:szCs w:val="24"/>
          <w:highlight w:val="none"/>
        </w:rPr>
        <w:t>1.13标准时间</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1.13.1本招标文件中出现的时间均指北京时间。</w:t>
      </w:r>
    </w:p>
    <w:p>
      <w:pPr>
        <w:snapToGrid w:val="0"/>
        <w:spacing w:line="400" w:lineRule="exact"/>
        <w:jc w:val="center"/>
        <w:outlineLvl w:val="1"/>
        <w:rPr>
          <w:rFonts w:ascii="宋体" w:hAnsi="宋体" w:eastAsia="宋体" w:cs="宋体"/>
          <w:b/>
          <w:snapToGrid w:val="0"/>
          <w:kern w:val="0"/>
          <w:sz w:val="24"/>
          <w:highlight w:val="none"/>
        </w:rPr>
      </w:pPr>
      <w:bookmarkStart w:id="24" w:name="_Toc83886016"/>
      <w:bookmarkStart w:id="25" w:name="_Toc15241"/>
      <w:bookmarkStart w:id="26" w:name="_Toc143421657"/>
      <w:bookmarkStart w:id="27" w:name="_Toc26219"/>
      <w:r>
        <w:rPr>
          <w:rFonts w:hint="eastAsia" w:ascii="宋体" w:hAnsi="宋体" w:eastAsia="宋体" w:cs="宋体"/>
          <w:b/>
          <w:snapToGrid w:val="0"/>
          <w:kern w:val="0"/>
          <w:sz w:val="24"/>
          <w:highlight w:val="none"/>
        </w:rPr>
        <w:t>2、招标文件</w:t>
      </w:r>
      <w:bookmarkEnd w:id="24"/>
      <w:bookmarkEnd w:id="25"/>
      <w:bookmarkEnd w:id="26"/>
      <w:bookmarkEnd w:id="27"/>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28" w:name="_Toc1426"/>
      <w:r>
        <w:rPr>
          <w:rFonts w:hint="eastAsia" w:ascii="宋体" w:hAnsi="宋体" w:eastAsia="宋体" w:cs="宋体"/>
          <w:b/>
          <w:bCs/>
          <w:snapToGrid w:val="0"/>
          <w:kern w:val="0"/>
          <w:sz w:val="24"/>
          <w:highlight w:val="none"/>
        </w:rPr>
        <w:t>2.1招标文件的组成</w:t>
      </w:r>
      <w:bookmarkEnd w:id="28"/>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本招标文件包括：</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（1）招标公告；</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（2）投标人须知；</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（3）用户需求及技术要求；</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（4）评标方法及评价标准；</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（5）投标文件格式；</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（6）合同条款及格式（仅供参考）；</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（7）投标人须知前附表规定的其他材料。</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根据本须知第2.3款对招标文件做出的澄清、修改、答复内容，共同构成招标文件的组成部分。</w:t>
      </w:r>
    </w:p>
    <w:p>
      <w:pPr>
        <w:spacing w:line="400" w:lineRule="exact"/>
        <w:ind w:firstLine="480" w:firstLineChars="200"/>
        <w:rPr>
          <w:rFonts w:ascii="宋体" w:hAnsi="宋体" w:eastAsia="宋体" w:cs="宋体"/>
          <w:snapToGrid w:val="0"/>
          <w:kern w:val="0"/>
          <w:sz w:val="24"/>
          <w:highlight w:val="none"/>
          <w:lang w:val="zh-CN"/>
        </w:rPr>
      </w:pPr>
      <w:r>
        <w:rPr>
          <w:rFonts w:hint="eastAsia" w:ascii="宋体" w:hAnsi="宋体" w:eastAsia="宋体" w:cs="宋体"/>
          <w:snapToGrid w:val="0"/>
          <w:kern w:val="0"/>
          <w:sz w:val="24"/>
          <w:highlight w:val="none"/>
          <w:lang w:val="zh-CN"/>
        </w:rPr>
        <w:t>除上述所列内容外，招标人的任何工作人员对投标人所作的任何口头解释、介绍、答复，只能供投标人参考，对招标人和投标人无任何约束力。</w:t>
      </w:r>
    </w:p>
    <w:p>
      <w:pPr>
        <w:pStyle w:val="8"/>
        <w:adjustRightInd w:val="0"/>
        <w:snapToGrid w:val="0"/>
        <w:spacing w:after="0" w:line="400" w:lineRule="exact"/>
        <w:jc w:val="left"/>
        <w:outlineLvl w:val="2"/>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2.2招标文件的获取</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2.2.1招标文件的获取方式、要求：见投标人须知前附表。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29" w:name="_Toc18230"/>
      <w:r>
        <w:rPr>
          <w:rFonts w:hint="eastAsia" w:ascii="宋体" w:hAnsi="宋体" w:eastAsia="宋体" w:cs="宋体"/>
          <w:b/>
          <w:bCs/>
          <w:snapToGrid w:val="0"/>
          <w:kern w:val="0"/>
          <w:sz w:val="24"/>
          <w:highlight w:val="none"/>
        </w:rPr>
        <w:t>2.3招标文件的澄清</w:t>
      </w:r>
      <w:bookmarkEnd w:id="29"/>
      <w:r>
        <w:rPr>
          <w:rFonts w:hint="eastAsia" w:ascii="宋体" w:hAnsi="宋体" w:eastAsia="宋体" w:cs="宋体"/>
          <w:b/>
          <w:bCs/>
          <w:snapToGrid w:val="0"/>
          <w:kern w:val="0"/>
          <w:sz w:val="24"/>
          <w:highlight w:val="none"/>
        </w:rPr>
        <w:t>和修改</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2.3.1投标人在获取招标文件后，对招标文件任何部分若有任何疑问，应按投标人须知前附表规定的“对招标文件提出问题截止时间、方式”，要求招标人对招标文件予以澄清。</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2.3.2招标人因投标人的澄清、异议要求而对招标文件做出澄清或修改的，以投标人须知前附表规定的“招标文件澄清、修改发出的形式”发给所有获取招标文件的投标人，但不指明澄清问题的来源。该澄清或修改文件作为招标文件的组成部分，具有约束作用。如果澄清或修改发出的时间距投标截止时间不足15天，且澄清或者修改的内容可能影响投标文件编制的，将顺延提交投标文件的截止时间。</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2.3.3除非招标人认为确有必要答复，否则，招标人有权拒绝回复投标人在本章第2.3.1项规定的时间后的任何澄清要求。</w:t>
      </w:r>
    </w:p>
    <w:p>
      <w:pPr>
        <w:snapToGrid w:val="0"/>
        <w:spacing w:line="400" w:lineRule="exact"/>
        <w:jc w:val="center"/>
        <w:outlineLvl w:val="1"/>
        <w:rPr>
          <w:rFonts w:ascii="宋体" w:hAnsi="宋体" w:eastAsia="宋体" w:cs="宋体"/>
          <w:b/>
          <w:snapToGrid w:val="0"/>
          <w:kern w:val="0"/>
          <w:sz w:val="24"/>
          <w:highlight w:val="none"/>
        </w:rPr>
      </w:pPr>
      <w:bookmarkStart w:id="30" w:name="_Toc26730"/>
      <w:bookmarkStart w:id="31" w:name="_Toc18870"/>
      <w:bookmarkStart w:id="32" w:name="_Toc83886017"/>
      <w:bookmarkStart w:id="33" w:name="_Toc143421658"/>
      <w:r>
        <w:rPr>
          <w:rFonts w:hint="eastAsia" w:ascii="宋体" w:hAnsi="宋体" w:eastAsia="宋体" w:cs="宋体"/>
          <w:b/>
          <w:snapToGrid w:val="0"/>
          <w:kern w:val="0"/>
          <w:sz w:val="24"/>
          <w:highlight w:val="none"/>
        </w:rPr>
        <w:t>3、投标文件</w:t>
      </w:r>
      <w:bookmarkEnd w:id="30"/>
      <w:bookmarkEnd w:id="31"/>
      <w:bookmarkEnd w:id="32"/>
      <w:bookmarkEnd w:id="33"/>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34" w:name="_Toc1411"/>
      <w:bookmarkStart w:id="35" w:name="_Toc32652"/>
      <w:bookmarkStart w:id="36" w:name="_Toc143421659"/>
      <w:r>
        <w:rPr>
          <w:rFonts w:hint="eastAsia" w:ascii="宋体" w:hAnsi="宋体" w:eastAsia="宋体" w:cs="宋体"/>
          <w:b/>
          <w:bCs/>
          <w:snapToGrid w:val="0"/>
          <w:kern w:val="0"/>
          <w:sz w:val="24"/>
          <w:highlight w:val="none"/>
        </w:rPr>
        <w:t>3.1投标文件的组成</w:t>
      </w:r>
      <w:bookmarkEnd w:id="34"/>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3.1.1 投标文件的组成：见投标人须知前附表。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投标人在评标过程中作出的符合法律法规和招标文件规定的澄清确认，构成投标文件的组成部分。</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3.1.2投标人须知前附表规定不接受联合体投标的，或投标人没有组成联合体的，投标文件不包括投标人须知前附表所指的联合体协议书。</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3.1.3投标人须知前附表未要求提交投标保证金的，投标文件不包括投标人须知前附表所指的投标保证金缴存证明。</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3.2资格审查资料</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3.2.1投标人应按本章第1.4款要求提供相关资格审查资料。</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3.2.2“资格文件”中的“营业执照”等复印件是指：</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投标人根据企业、非企业性质不同，可分别提供营业执照、事业单位法人证书、社会团体法人登记证书或其他组织登记证明文件的复印件；</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3.2.3“资格文件”中的“其他资格条件证明材料”应提供与项目的特殊要求存在实质性关联的相关特定行业资格许可证或授权许可证的证书复印件，或招标人认为确需增加的其他资格条件相关的合同、业绩证明材料。</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37" w:name="_Toc32225"/>
      <w:r>
        <w:rPr>
          <w:rFonts w:hint="eastAsia" w:ascii="宋体" w:hAnsi="宋体" w:eastAsia="宋体" w:cs="宋体"/>
          <w:b/>
          <w:bCs/>
          <w:snapToGrid w:val="0"/>
          <w:kern w:val="0"/>
          <w:sz w:val="24"/>
          <w:highlight w:val="none"/>
        </w:rPr>
        <w:t>3.3投标报价</w:t>
      </w:r>
      <w:bookmarkEnd w:id="37"/>
    </w:p>
    <w:p>
      <w:pPr>
        <w:snapToGrid w:val="0"/>
        <w:spacing w:line="400" w:lineRule="exact"/>
        <w:ind w:firstLine="480" w:firstLineChars="200"/>
        <w:jc w:val="left"/>
        <w:rPr>
          <w:rFonts w:ascii="宋体" w:hAnsi="宋体" w:eastAsia="宋体" w:cs="宋体"/>
          <w:snapToGrid w:val="0"/>
          <w:kern w:val="0"/>
          <w:sz w:val="24"/>
          <w:highlight w:val="none"/>
        </w:rPr>
      </w:pPr>
      <w:bookmarkStart w:id="38" w:name="_Toc13307"/>
      <w:r>
        <w:rPr>
          <w:rFonts w:hint="eastAsia" w:ascii="宋体" w:hAnsi="宋体" w:eastAsia="宋体" w:cs="宋体"/>
          <w:snapToGrid w:val="0"/>
          <w:kern w:val="0"/>
          <w:sz w:val="24"/>
          <w:highlight w:val="none"/>
        </w:rPr>
        <w:t>3.3.1投标人应按第五章“投标文件格式”的要求在“投标函”中进行报价。</w:t>
      </w:r>
      <w:r>
        <w:rPr>
          <w:rFonts w:hint="eastAsia" w:ascii="宋体" w:hAnsi="宋体" w:eastAsia="宋体" w:cs="宋体"/>
          <w:sz w:val="24"/>
          <w:highlight w:val="none"/>
        </w:rPr>
        <w:t>有关本项目建设或采购所需的所有费用均计入报价。</w:t>
      </w:r>
      <w:r>
        <w:rPr>
          <w:rFonts w:hint="eastAsia" w:ascii="宋体" w:hAnsi="宋体" w:eastAsia="宋体" w:cs="宋体"/>
          <w:snapToGrid w:val="0"/>
          <w:kern w:val="0"/>
          <w:sz w:val="24"/>
          <w:highlight w:val="none"/>
        </w:rPr>
        <w:t>投标文件中价格全部采用人民币报价。</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3.3.2投标人应充分了解该项目的总体情况以及影响投标报价的其他要素。</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3.3.3招标人设有最高投标限价的，投标人的投标报价不得超过最高投标限价，最高投标限价在投标人须知前附表中载明。</w:t>
      </w:r>
    </w:p>
    <w:p>
      <w:pPr>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3.3.4投标报价的具体要求详见第三章“用户需求及技术要求”。</w:t>
      </w:r>
    </w:p>
    <w:bookmarkEnd w:id="38"/>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39" w:name="_Toc29989"/>
      <w:r>
        <w:rPr>
          <w:rFonts w:hint="eastAsia" w:ascii="宋体" w:hAnsi="宋体" w:eastAsia="宋体" w:cs="宋体"/>
          <w:b/>
          <w:bCs/>
          <w:snapToGrid w:val="0"/>
          <w:kern w:val="0"/>
          <w:sz w:val="24"/>
          <w:highlight w:val="none"/>
        </w:rPr>
        <w:t>3.4投标文件的编制</w:t>
      </w:r>
      <w:bookmarkEnd w:id="39"/>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3.4.1投标文件分资格文件、商务文件、资信文件、技术文件四部分，应按第3.1款规定的内容和第五章“投标文件格式”进行编写，如有必要，可以增加附页，作为投标文件的组成部分，“投标文件格式”中没有规定的可自行编制格式。</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3.4.2投标人按投标人须知前附表规定的份数编制投标文件。投标文件的正本和副本均需打印或使用不褪色的墨水笔书写，字迹应清晰易于辨认。正本和副本的封面右上角应清楚地标记“正本”或“副本”的字样。投标人应根据前附表要求提供电子版文件。当副本和正本不一致或电子版文件和纸质正本文件不一致时，以纸质正本文件为准。</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3.4.3投标文件装订要求见投标人须知前附表。投标文件的正本与副本应分别装订成册，内容是否分册装订见前附表。投标文件的装订必须采用胶订或线订形式，不得采用活页装订方式（胶订或线订以外装订形式视为活页装订）。投标文件建议采用A4幅面，按顺序统一编目编码装订成册。提倡双面打印。</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3.4.4 投标文件按照招标文件第五章格式要求进行签署、盖章。投标文件封面、投标函均应加盖</w:t>
      </w:r>
      <w:r>
        <w:rPr>
          <w:rFonts w:hint="eastAsia" w:ascii="宋体" w:hAnsi="宋体" w:cs="宋体"/>
          <w:snapToGrid w:val="0"/>
          <w:sz w:val="24"/>
          <w:szCs w:val="24"/>
          <w:highlight w:val="none"/>
        </w:rPr>
        <w:t>投标人单位公章</w:t>
      </w:r>
      <w:r>
        <w:rPr>
          <w:rFonts w:hint="eastAsia" w:ascii="宋体" w:hAnsi="宋体" w:cs="宋体"/>
          <w:snapToGrid w:val="0"/>
          <w:kern w:val="0"/>
          <w:sz w:val="24"/>
          <w:szCs w:val="24"/>
          <w:highlight w:val="none"/>
        </w:rPr>
        <w:t>并经法定代表人或其委托代理人签字或盖</w:t>
      </w:r>
      <w:r>
        <w:rPr>
          <w:rFonts w:hint="eastAsia" w:ascii="宋体" w:hAnsi="宋体" w:cs="宋体"/>
          <w:snapToGrid w:val="0"/>
          <w:sz w:val="24"/>
          <w:szCs w:val="24"/>
          <w:highlight w:val="none"/>
        </w:rPr>
        <w:t>投标人单位公章</w:t>
      </w:r>
      <w:r>
        <w:rPr>
          <w:rFonts w:hint="eastAsia" w:ascii="宋体" w:hAnsi="宋体" w:cs="宋体"/>
          <w:snapToGrid w:val="0"/>
          <w:kern w:val="0"/>
          <w:sz w:val="24"/>
          <w:szCs w:val="24"/>
          <w:highlight w:val="none"/>
        </w:rPr>
        <w:t>。由委托代理人签字或盖</w:t>
      </w:r>
      <w:r>
        <w:rPr>
          <w:rFonts w:hint="eastAsia" w:ascii="宋体" w:hAnsi="宋体" w:cs="宋体"/>
          <w:snapToGrid w:val="0"/>
          <w:sz w:val="24"/>
          <w:szCs w:val="24"/>
          <w:highlight w:val="none"/>
        </w:rPr>
        <w:t>投标人单位公章</w:t>
      </w:r>
      <w:r>
        <w:rPr>
          <w:rFonts w:hint="eastAsia" w:ascii="宋体" w:hAnsi="宋体" w:cs="宋体"/>
          <w:snapToGrid w:val="0"/>
          <w:kern w:val="0"/>
          <w:sz w:val="24"/>
          <w:szCs w:val="24"/>
          <w:highlight w:val="none"/>
        </w:rPr>
        <w:t>的在投标文件中必须同时提交法定代表人签署授权委托书。投标文件应尽量避免涂改、行间插字或删除。如果出现上述情况，改动之处应由投标人的法定代表人或其委托代理人签字或盖</w:t>
      </w:r>
      <w:r>
        <w:rPr>
          <w:rFonts w:hint="eastAsia" w:ascii="宋体" w:hAnsi="宋体" w:cs="宋体"/>
          <w:snapToGrid w:val="0"/>
          <w:sz w:val="24"/>
          <w:szCs w:val="24"/>
          <w:highlight w:val="none"/>
        </w:rPr>
        <w:t>投标人单位公章</w:t>
      </w:r>
      <w:r>
        <w:rPr>
          <w:rFonts w:hint="eastAsia" w:ascii="宋体" w:hAnsi="宋体" w:cs="宋体"/>
          <w:snapToGrid w:val="0"/>
          <w:kern w:val="0"/>
          <w:sz w:val="24"/>
          <w:szCs w:val="24"/>
          <w:highlight w:val="none"/>
        </w:rPr>
        <w:t>、注明日期予以确认。</w:t>
      </w:r>
    </w:p>
    <w:p>
      <w:pPr>
        <w:adjustRightInd w:val="0"/>
        <w:snapToGrid w:val="0"/>
        <w:spacing w:line="400" w:lineRule="exact"/>
        <w:ind w:firstLine="482" w:firstLineChars="200"/>
        <w:jc w:val="center"/>
        <w:outlineLvl w:val="1"/>
        <w:rPr>
          <w:rFonts w:ascii="宋体" w:hAnsi="宋体" w:eastAsia="宋体" w:cs="宋体"/>
          <w:b/>
          <w:snapToGrid w:val="0"/>
          <w:kern w:val="0"/>
          <w:sz w:val="24"/>
          <w:highlight w:val="none"/>
        </w:rPr>
      </w:pPr>
      <w:bookmarkStart w:id="40" w:name="_Toc13653"/>
      <w:bookmarkStart w:id="41" w:name="_Toc83886018"/>
      <w:r>
        <w:rPr>
          <w:rFonts w:hint="eastAsia" w:ascii="宋体" w:hAnsi="宋体" w:eastAsia="宋体" w:cs="宋体"/>
          <w:b/>
          <w:snapToGrid w:val="0"/>
          <w:kern w:val="0"/>
          <w:sz w:val="24"/>
          <w:highlight w:val="none"/>
        </w:rPr>
        <w:t>4、投标</w:t>
      </w:r>
      <w:bookmarkEnd w:id="40"/>
      <w:bookmarkEnd w:id="41"/>
    </w:p>
    <w:bookmarkEnd w:id="35"/>
    <w:bookmarkEnd w:id="36"/>
    <w:p>
      <w:pPr>
        <w:adjustRightInd w:val="0"/>
        <w:snapToGrid w:val="0"/>
        <w:spacing w:line="400" w:lineRule="exact"/>
        <w:jc w:val="left"/>
        <w:outlineLvl w:val="2"/>
        <w:rPr>
          <w:rFonts w:ascii="宋体" w:hAnsi="宋体" w:eastAsia="宋体" w:cs="宋体"/>
          <w:b/>
          <w:bCs/>
          <w:snapToGrid w:val="0"/>
          <w:kern w:val="0"/>
          <w:sz w:val="24"/>
          <w:highlight w:val="none"/>
        </w:rPr>
      </w:pPr>
      <w:bookmarkStart w:id="42" w:name="_Toc649"/>
      <w:r>
        <w:rPr>
          <w:rFonts w:hint="eastAsia" w:ascii="宋体" w:hAnsi="宋体" w:eastAsia="宋体" w:cs="宋体"/>
          <w:b/>
          <w:bCs/>
          <w:snapToGrid w:val="0"/>
          <w:kern w:val="0"/>
          <w:sz w:val="24"/>
          <w:highlight w:val="none"/>
        </w:rPr>
        <w:t>4.1 踏勘现场</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4.1.1 投标人须知前附表规定组织踏勘现场的，招标人按投标人须知前附表规定的时间、地点组织投标人踏勘项目现场。未参加现场踏勘不作为否定投标人资格的理由。</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4.1.2 投标人踏勘现场发生的费用自理。除招标人的原因外，投标人自行负责在踏勘现场中所发生的人员伤亡和财产损失。</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4.1.3 招标人在踏勘现场中介绍的项目情况和提供的资料，仅供投标人在编制投标文件时参考，招标人不对投标人据此作出的判断和决策负责。</w:t>
      </w:r>
    </w:p>
    <w:p>
      <w:pPr>
        <w:pStyle w:val="8"/>
        <w:adjustRightInd w:val="0"/>
        <w:snapToGrid w:val="0"/>
        <w:spacing w:after="0" w:line="400" w:lineRule="exact"/>
        <w:jc w:val="left"/>
        <w:outlineLvl w:val="2"/>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4.2 投标预备会</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4.2.1 如招标人认为有必要召开投标预备会，潜在投标人按投标人须知前附表规定的时间、地点自行派出代表参加招标人组织的投标预备会。未出席投标预备会不作为否定投标人资格的理由。</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4.2.2投标预备会的目的是澄清、解答投标人在查阅招标文件后和现场踏勘中可能提出的任何方面的问题，如有必要，招标人将就投标人提出的问题以答疑的形式在投标预备会上进行解释。</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4.2.3招标人在投标预备会上所做出的澄清和解答，以书面答复为准，该答疑纪要文件构成招标文件的一部分，具有约束作用，并按第2.3.2项要求予以公布并通知。</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43" w:name="_Toc30464"/>
      <w:bookmarkStart w:id="44" w:name="_Toc360398511"/>
      <w:r>
        <w:rPr>
          <w:rFonts w:hint="eastAsia" w:ascii="宋体" w:hAnsi="宋体" w:eastAsia="宋体" w:cs="宋体"/>
          <w:b/>
          <w:bCs/>
          <w:snapToGrid w:val="0"/>
          <w:kern w:val="0"/>
          <w:sz w:val="24"/>
          <w:highlight w:val="none"/>
        </w:rPr>
        <w:t>4.3 投标保证金</w:t>
      </w:r>
      <w:bookmarkEnd w:id="43"/>
      <w:bookmarkEnd w:id="44"/>
    </w:p>
    <w:p>
      <w:pPr>
        <w:widowControl/>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4.3.1投标人应在递交投标文件时或之前提交一笔不少于投标人须知前附表所规定数额的投标保证金，作为其投标的一部分。招标人可根据招标文件规定的条件对投标保证金</w:t>
      </w:r>
      <w:r>
        <w:rPr>
          <w:rFonts w:hint="eastAsia" w:ascii="宋体" w:hAnsi="宋体" w:eastAsia="宋体" w:cs="宋体"/>
          <w:kern w:val="0"/>
          <w:sz w:val="24"/>
          <w:highlight w:val="none"/>
        </w:rPr>
        <w:t>不予退还</w:t>
      </w:r>
      <w:r>
        <w:rPr>
          <w:rFonts w:hint="eastAsia" w:ascii="宋体" w:hAnsi="宋体" w:eastAsia="宋体" w:cs="宋体"/>
          <w:snapToGrid w:val="0"/>
          <w:kern w:val="0"/>
          <w:sz w:val="24"/>
          <w:highlight w:val="none"/>
        </w:rPr>
        <w:t>。</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4.3.2对于未能按要求提交投标保证金的投标，招标人将视为不响应招标文件而予以拒绝。</w:t>
      </w:r>
    </w:p>
    <w:p>
      <w:pPr>
        <w:widowControl/>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4.3.3未中标的投标人的投标保证金将在中标公示期满后予以</w:t>
      </w:r>
      <w:r>
        <w:rPr>
          <w:rFonts w:hint="eastAsia" w:ascii="宋体" w:hAnsi="宋体" w:eastAsia="宋体" w:cs="宋体"/>
          <w:kern w:val="0"/>
          <w:sz w:val="24"/>
          <w:highlight w:val="none"/>
        </w:rPr>
        <w:t>无息</w:t>
      </w:r>
      <w:r>
        <w:rPr>
          <w:rFonts w:hint="eastAsia" w:ascii="宋体" w:hAnsi="宋体" w:eastAsia="宋体" w:cs="宋体"/>
          <w:snapToGrid w:val="0"/>
          <w:kern w:val="0"/>
          <w:sz w:val="24"/>
          <w:highlight w:val="none"/>
        </w:rPr>
        <w:t>退还。</w:t>
      </w:r>
    </w:p>
    <w:p>
      <w:pPr>
        <w:widowControl/>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4.3.4中标人的投标保证金，在中标人签订合同并按要求提交履约保证金后予以</w:t>
      </w:r>
      <w:r>
        <w:rPr>
          <w:rFonts w:hint="eastAsia" w:ascii="宋体" w:hAnsi="宋体" w:eastAsia="宋体" w:cs="宋体"/>
          <w:kern w:val="0"/>
          <w:sz w:val="24"/>
          <w:highlight w:val="none"/>
        </w:rPr>
        <w:t>无息</w:t>
      </w:r>
      <w:r>
        <w:rPr>
          <w:rFonts w:hint="eastAsia" w:ascii="宋体" w:hAnsi="宋体" w:eastAsia="宋体" w:cs="宋体"/>
          <w:snapToGrid w:val="0"/>
          <w:kern w:val="0"/>
          <w:sz w:val="24"/>
          <w:highlight w:val="none"/>
        </w:rPr>
        <w:t>退还。</w:t>
      </w:r>
    </w:p>
    <w:p>
      <w:pPr>
        <w:widowControl/>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4.3.5如投标人有下列任何情况发生时，投标保证金将</w:t>
      </w:r>
      <w:r>
        <w:rPr>
          <w:rFonts w:hint="eastAsia" w:ascii="宋体" w:hAnsi="宋体" w:eastAsia="宋体" w:cs="宋体"/>
          <w:kern w:val="0"/>
          <w:sz w:val="24"/>
          <w:highlight w:val="none"/>
        </w:rPr>
        <w:t>不予退还</w:t>
      </w:r>
      <w:r>
        <w:rPr>
          <w:rFonts w:hint="eastAsia" w:ascii="宋体" w:hAnsi="宋体" w:eastAsia="宋体" w:cs="宋体"/>
          <w:snapToGrid w:val="0"/>
          <w:kern w:val="0"/>
          <w:sz w:val="24"/>
          <w:highlight w:val="none"/>
        </w:rPr>
        <w:t>：</w:t>
      </w:r>
    </w:p>
    <w:p>
      <w:pPr>
        <w:pStyle w:val="8"/>
        <w:numPr>
          <w:ilvl w:val="0"/>
          <w:numId w:val="1"/>
        </w:numPr>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在投标有效期内撤回投标文件的；</w:t>
      </w:r>
    </w:p>
    <w:p>
      <w:pPr>
        <w:pStyle w:val="8"/>
        <w:numPr>
          <w:ilvl w:val="0"/>
          <w:numId w:val="1"/>
        </w:numPr>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拒绝接受投标文件中已确认的承诺或条款；</w:t>
      </w:r>
    </w:p>
    <w:p>
      <w:pPr>
        <w:pStyle w:val="8"/>
        <w:numPr>
          <w:ilvl w:val="0"/>
          <w:numId w:val="1"/>
        </w:numPr>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中标人未能在规定期限内提交履约保证金或签署合同协议的；</w:t>
      </w:r>
    </w:p>
    <w:p>
      <w:pPr>
        <w:pStyle w:val="8"/>
        <w:numPr>
          <w:ilvl w:val="0"/>
          <w:numId w:val="1"/>
        </w:numPr>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投标人提供虚假资料，经查实的；</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（5）投标人在投标期间有串标、哄抬标价等违规违法行为。</w:t>
      </w:r>
    </w:p>
    <w:p>
      <w:pPr>
        <w:keepNext/>
        <w:keepLines/>
        <w:adjustRightInd w:val="0"/>
        <w:snapToGrid w:val="0"/>
        <w:spacing w:line="400" w:lineRule="exact"/>
        <w:jc w:val="left"/>
        <w:outlineLvl w:val="2"/>
        <w:rPr>
          <w:rFonts w:ascii="宋体" w:hAnsi="宋体" w:eastAsia="宋体" w:cs="宋体"/>
          <w:snapToGrid w:val="0"/>
          <w:kern w:val="0"/>
          <w:sz w:val="24"/>
          <w:highlight w:val="none"/>
        </w:rPr>
      </w:pPr>
      <w:r>
        <w:rPr>
          <w:rFonts w:hint="eastAsia" w:ascii="宋体" w:hAnsi="宋体" w:eastAsia="宋体" w:cs="宋体"/>
          <w:b/>
          <w:bCs/>
          <w:snapToGrid w:val="0"/>
          <w:kern w:val="0"/>
          <w:sz w:val="24"/>
          <w:highlight w:val="none"/>
        </w:rPr>
        <w:t>4.4投标样品</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4.4.1本项目投标样品提供的要求：见投标人须知前附表。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4.5投标文件的密封和标识</w:t>
      </w:r>
      <w:bookmarkEnd w:id="42"/>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bookmarkStart w:id="45" w:name="_Toc16616"/>
      <w:r>
        <w:rPr>
          <w:rFonts w:hint="eastAsia" w:ascii="宋体" w:hAnsi="宋体" w:cs="宋体"/>
          <w:snapToGrid w:val="0"/>
          <w:kern w:val="0"/>
          <w:sz w:val="24"/>
          <w:szCs w:val="24"/>
          <w:highlight w:val="none"/>
        </w:rPr>
        <w:t>4.5.1投标文件必须密封包装，并在封套的封口处加盖投标人单位章或由投标人的法定代表人或其授权的代理人签字。</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4.5.2投标文件封套上应写明的内容见投标人须知前附表。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4.5.3未按本章第4.7.2项要求填写内容的投标文件，招标人将不承担投标文件错放或提前开封导致投标被拒绝的责任。</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4.6投标文件的递交</w:t>
      </w:r>
      <w:bookmarkEnd w:id="45"/>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4.6.1投标人应在投标人须知前附表规定的投标截止时间前、规定的投标文件递交地点递交投标文件。</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4.6.2除投标人须知前附表另有规定外，投标人有效递交的投标文件不予退还。</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46" w:name="_Toc26099"/>
      <w:r>
        <w:rPr>
          <w:rFonts w:hint="eastAsia" w:ascii="宋体" w:hAnsi="宋体" w:eastAsia="宋体" w:cs="宋体"/>
          <w:b/>
          <w:bCs/>
          <w:snapToGrid w:val="0"/>
          <w:kern w:val="0"/>
          <w:sz w:val="24"/>
          <w:highlight w:val="none"/>
        </w:rPr>
        <w:t>4.7投标文件的补充、修改、撤回</w:t>
      </w:r>
      <w:bookmarkEnd w:id="46"/>
      <w:r>
        <w:rPr>
          <w:rFonts w:hint="eastAsia" w:ascii="宋体" w:hAnsi="宋体" w:eastAsia="宋体" w:cs="宋体"/>
          <w:b/>
          <w:bCs/>
          <w:snapToGrid w:val="0"/>
          <w:kern w:val="0"/>
          <w:sz w:val="24"/>
          <w:highlight w:val="none"/>
        </w:rPr>
        <w:t>和撤销</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4.7.1投标人递交投标文件以后，在规定的投标截止时间之前，投标人可以补充、修改或撤回已递交的投标文件，但应以书面形式通知招标人。</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4.7.2投标人补充、修改或撤回已递交投标文件的书面通知应按照第3条、第4条的有关规定进行编制、密封、标识和递交，并标明“补充修改”或“撤回”字样。</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4.7.3补充、修改的内容为投标文件的组成部分。补充、修改的内容与投标文件不一致的，以补充、修改的内容为准。</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4.7.4在投标截止时间以后，不能补充、修改投标文件。投标截止时间以后至招标文件规定的投标有效期内，投标人不能撤销或修改投标文件。</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4.8投标有效期</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4.8.1除投标人须知前附表另有规定外，投标有效期为90日历天。投标人的投标文件中承诺的投标有效期不得少于招标文件中载明的投标有效期。</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4.8.2在投标有效期内，投标人撤销或修改投标文件的，应承担招标文件和法律规定的责任。</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4.8.3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不计利息）。在延长的投标有效期内第 4.5款关于投标保证金的退还与不予退还的规定仍然适用。</w:t>
      </w:r>
    </w:p>
    <w:p>
      <w:pPr>
        <w:snapToGrid w:val="0"/>
        <w:spacing w:line="400" w:lineRule="exact"/>
        <w:jc w:val="center"/>
        <w:outlineLvl w:val="1"/>
        <w:rPr>
          <w:rFonts w:ascii="宋体" w:hAnsi="宋体" w:eastAsia="宋体" w:cs="宋体"/>
          <w:b/>
          <w:snapToGrid w:val="0"/>
          <w:kern w:val="0"/>
          <w:sz w:val="24"/>
          <w:highlight w:val="none"/>
        </w:rPr>
      </w:pPr>
      <w:bookmarkStart w:id="47" w:name="_Toc30158"/>
      <w:bookmarkStart w:id="48" w:name="_Toc29641"/>
      <w:bookmarkStart w:id="49" w:name="_Toc83886019"/>
      <w:r>
        <w:rPr>
          <w:rFonts w:hint="eastAsia" w:ascii="宋体" w:hAnsi="宋体" w:eastAsia="宋体" w:cs="宋体"/>
          <w:b/>
          <w:snapToGrid w:val="0"/>
          <w:kern w:val="0"/>
          <w:sz w:val="24"/>
          <w:highlight w:val="none"/>
        </w:rPr>
        <w:t>5、开标</w:t>
      </w:r>
      <w:bookmarkEnd w:id="47"/>
      <w:bookmarkEnd w:id="48"/>
      <w:bookmarkEnd w:id="49"/>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50" w:name="_Toc15123"/>
      <w:r>
        <w:rPr>
          <w:rFonts w:hint="eastAsia" w:ascii="宋体" w:hAnsi="宋体" w:eastAsia="宋体" w:cs="宋体"/>
          <w:b/>
          <w:bCs/>
          <w:snapToGrid w:val="0"/>
          <w:kern w:val="0"/>
          <w:sz w:val="24"/>
          <w:highlight w:val="none"/>
        </w:rPr>
        <w:t>5.1开标时间和地点</w:t>
      </w:r>
      <w:bookmarkEnd w:id="50"/>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5.1.1本项目按照投标人须知前附表规定的时间和地点公开举行开标会议，并邀请所有投标人法定代表人或其委托代理人（简称投标人代表，下同）参加开标会议。</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5.2开标应携带的资料</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5.2.1投标人代表参加开标时，应携带投标人须知前附表规定的资料。</w:t>
      </w:r>
    </w:p>
    <w:p>
      <w:pPr>
        <w:adjustRightInd w:val="0"/>
        <w:snapToGrid w:val="0"/>
        <w:spacing w:line="400" w:lineRule="exac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5.3开标顺序</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5.3.1</w:t>
      </w:r>
      <w:r>
        <w:rPr>
          <w:rFonts w:hint="eastAsia" w:ascii="宋体" w:hAnsi="宋体" w:eastAsia="宋体" w:cs="宋体"/>
          <w:kern w:val="0"/>
          <w:sz w:val="24"/>
          <w:highlight w:val="none"/>
        </w:rPr>
        <w:t>开标顺序依据</w:t>
      </w:r>
      <w:r>
        <w:rPr>
          <w:rFonts w:hint="eastAsia" w:ascii="宋体" w:hAnsi="宋体" w:eastAsia="宋体" w:cs="宋体"/>
          <w:snapToGrid w:val="0"/>
          <w:kern w:val="0"/>
          <w:sz w:val="24"/>
          <w:highlight w:val="none"/>
        </w:rPr>
        <w:t>投标人须知前附表的规定</w:t>
      </w:r>
      <w:r>
        <w:rPr>
          <w:rFonts w:hint="eastAsia" w:ascii="宋体" w:hAnsi="宋体" w:eastAsia="宋体" w:cs="宋体"/>
          <w:kern w:val="0"/>
          <w:sz w:val="24"/>
          <w:highlight w:val="none"/>
        </w:rPr>
        <w:t>。</w:t>
      </w:r>
    </w:p>
    <w:p>
      <w:pPr>
        <w:adjustRightInd w:val="0"/>
        <w:snapToGrid w:val="0"/>
        <w:spacing w:line="400" w:lineRule="exac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5.4开标程序</w:t>
      </w:r>
    </w:p>
    <w:p>
      <w:pPr>
        <w:adjustRightInd w:val="0"/>
        <w:snapToGrid w:val="0"/>
        <w:spacing w:line="400" w:lineRule="exact"/>
        <w:ind w:firstLine="590" w:firstLineChars="245"/>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5.4.1开标由招标人（或招标代理）主持，按下列程序进行开标：</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（1）宣布开标纪律；</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（2）公布在投标截止时间前递交投标文件的投标人家数及名称；</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（3）宣布：开标人、唱标人、记录人、监标人等有关工作人员；</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（4）监标人对各投标人法定代表人（或其委托代理人）身份证明进行核验；</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（5）投标人代表或者其集体推选的代表检查投标文件的密封情况；</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（6）按照投标人须知第5.3.1规定的开标顺序当众开启投标文件，清点投标文件正、副本数量，公布投标函内容（投标人全称、报价、服务期等其他内容），并记录在案；</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（7）投标人代表、唱标人、监标人、记录人等有关人员在开标记录上签字确认；</w:t>
      </w:r>
    </w:p>
    <w:p>
      <w:pPr>
        <w:pStyle w:val="8"/>
        <w:spacing w:line="400" w:lineRule="exact"/>
        <w:ind w:firstLine="467" w:firstLineChars="194"/>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（8）开标结束。</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5.4.2投标人代表如发现唱标内容或记录结果与投标文件不一致的，应在开标现场当即提出予以纠正。</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5.4.3投标人未参加开标或参加开标但</w:t>
      </w:r>
      <w:r>
        <w:rPr>
          <w:rFonts w:hint="eastAsia" w:ascii="宋体" w:hAnsi="宋体" w:cs="宋体"/>
          <w:snapToGrid w:val="0"/>
          <w:kern w:val="0"/>
          <w:sz w:val="24"/>
          <w:szCs w:val="24"/>
          <w:highlight w:val="none"/>
          <w:lang w:val="zh-CN"/>
        </w:rPr>
        <w:t>未在开标记录上签字的，</w:t>
      </w:r>
      <w:r>
        <w:rPr>
          <w:rFonts w:hint="eastAsia" w:ascii="宋体" w:hAnsi="宋体" w:cs="宋体"/>
          <w:snapToGrid w:val="0"/>
          <w:kern w:val="0"/>
          <w:sz w:val="24"/>
          <w:szCs w:val="24"/>
          <w:highlight w:val="none"/>
        </w:rPr>
        <w:t>均视同认可开标结果。</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5.4.4投标人在投标截止时间前提交投标文件撤回函的，招标人应在开标时宣读撤回函，并将其投标文件及其投标保证金及时退还投标人。</w:t>
      </w:r>
    </w:p>
    <w:p>
      <w:pPr>
        <w:adjustRightInd w:val="0"/>
        <w:snapToGrid w:val="0"/>
        <w:spacing w:line="400" w:lineRule="exac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5.5投标文件拒收、退还：</w:t>
      </w:r>
      <w:r>
        <w:rPr>
          <w:rFonts w:hint="eastAsia" w:ascii="宋体" w:hAnsi="宋体" w:eastAsia="宋体" w:cs="宋体"/>
          <w:b/>
          <w:bCs/>
          <w:kern w:val="21"/>
          <w:sz w:val="24"/>
          <w:highlight w:val="none"/>
        </w:rPr>
        <w:t>见投标人须知前附表。</w:t>
      </w:r>
    </w:p>
    <w:p>
      <w:pPr>
        <w:snapToGrid w:val="0"/>
        <w:spacing w:line="400" w:lineRule="exact"/>
        <w:jc w:val="center"/>
        <w:outlineLvl w:val="1"/>
        <w:rPr>
          <w:rFonts w:ascii="宋体" w:hAnsi="宋体" w:eastAsia="宋体" w:cs="宋体"/>
          <w:b/>
          <w:snapToGrid w:val="0"/>
          <w:kern w:val="0"/>
          <w:sz w:val="24"/>
          <w:highlight w:val="none"/>
        </w:rPr>
      </w:pPr>
      <w:bookmarkStart w:id="51" w:name="_Toc83886020"/>
      <w:bookmarkStart w:id="52" w:name="_Toc7908"/>
      <w:bookmarkStart w:id="53" w:name="_Toc31578"/>
      <w:r>
        <w:rPr>
          <w:rFonts w:hint="eastAsia" w:ascii="宋体" w:hAnsi="宋体" w:eastAsia="宋体" w:cs="宋体"/>
          <w:b/>
          <w:snapToGrid w:val="0"/>
          <w:kern w:val="0"/>
          <w:sz w:val="24"/>
          <w:highlight w:val="none"/>
        </w:rPr>
        <w:t>6、评标</w:t>
      </w:r>
      <w:bookmarkEnd w:id="51"/>
      <w:bookmarkEnd w:id="52"/>
      <w:bookmarkEnd w:id="53"/>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54" w:name="_Toc10279"/>
      <w:r>
        <w:rPr>
          <w:rFonts w:hint="eastAsia" w:ascii="宋体" w:hAnsi="宋体" w:eastAsia="宋体" w:cs="宋体"/>
          <w:b/>
          <w:bCs/>
          <w:snapToGrid w:val="0"/>
          <w:kern w:val="0"/>
          <w:sz w:val="24"/>
          <w:highlight w:val="none"/>
        </w:rPr>
        <w:t>6.1评标委员会的组建</w:t>
      </w:r>
    </w:p>
    <w:bookmarkEnd w:id="54"/>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6.1.1评标小组由招标人依法组建，负责评标活动。</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6.1.2评标过程中，评标委员会成员有回避事由、擅离职守或者因健康原因不能继续评标的，招标人有权更换。被更换的评标委员会成员作出的评审结论无效，由更换后的评标委员会成员重新进行评审。</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6.2评标原则</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6.2.1评标活动遵循公平、公正、科学和择优的原则。</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6.3评标会议</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6.3.1评标委员会原则上要推选一位组长（招标人代表不得担任评标委员会组长），评标委员会组长负责组织评标工作。</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6.3.2本项目采用的评标办法及否决投标条款见投标人须知前附表。评标委员会按照第四章“评标方法及评价标准”规定的方法、评审因素、标准和程序对投标文件进行客观、公正地评审和比较。第四章“评标方法及评价标准”没有规定的方法、评审因素和标准，不作为评标依据。</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6.3.3评标完成后，评标委员会应当向招标人提交书面评标报告和中标候选人名单。评标委员会推荐中标候选人的人数见投标人须知前附表。</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6.3.4评标委员会对投标文件作出的评审结论，应当符合有关法律法规和招标文件的规定。评标委员会成员对所提出的评审意见承担个人责任。</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6.4评标过程的保密</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6.4.1评标会议采用保密方式进行。评标过程中凡是与投标文件评审和比较、中标候选人推荐等评审有关的情况，以及涉及国家秘密和商业秘密信息，评标委员会成员、招标人和招标代理机构工作人员、相关监督人员等与评标有关的人员均应严格保密。</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6.4.2评标工作现场进行全过程录音录像以存档备查。</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6.4.3评标过程中招标代理机构与评标委员会各司其责。招标代理机构工作人员在评标委员会专家成员独立评审期间，不得进入评标室。</w:t>
      </w:r>
    </w:p>
    <w:p>
      <w:pPr>
        <w:snapToGrid w:val="0"/>
        <w:spacing w:line="400" w:lineRule="exact"/>
        <w:jc w:val="center"/>
        <w:outlineLvl w:val="1"/>
        <w:rPr>
          <w:rFonts w:ascii="宋体" w:hAnsi="宋体" w:eastAsia="宋体" w:cs="宋体"/>
          <w:bCs/>
          <w:snapToGrid w:val="0"/>
          <w:kern w:val="0"/>
          <w:sz w:val="24"/>
          <w:highlight w:val="none"/>
        </w:rPr>
      </w:pPr>
      <w:bookmarkStart w:id="55" w:name="_Toc24237"/>
      <w:bookmarkStart w:id="56" w:name="_Toc83886021"/>
      <w:bookmarkStart w:id="57" w:name="_Toc911"/>
      <w:r>
        <w:rPr>
          <w:rFonts w:hint="eastAsia" w:ascii="宋体" w:hAnsi="宋体" w:eastAsia="宋体" w:cs="宋体"/>
          <w:b/>
          <w:snapToGrid w:val="0"/>
          <w:kern w:val="0"/>
          <w:sz w:val="24"/>
          <w:highlight w:val="none"/>
        </w:rPr>
        <w:t>7、</w:t>
      </w:r>
      <w:bookmarkEnd w:id="55"/>
      <w:r>
        <w:rPr>
          <w:rFonts w:hint="eastAsia" w:ascii="宋体" w:hAnsi="宋体" w:eastAsia="宋体" w:cs="宋体"/>
          <w:b/>
          <w:snapToGrid w:val="0"/>
          <w:kern w:val="0"/>
          <w:sz w:val="24"/>
          <w:highlight w:val="none"/>
        </w:rPr>
        <w:t>定标</w:t>
      </w:r>
      <w:bookmarkEnd w:id="56"/>
      <w:bookmarkEnd w:id="57"/>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58" w:name="_Toc18809"/>
      <w:r>
        <w:rPr>
          <w:rFonts w:hint="eastAsia" w:ascii="宋体" w:hAnsi="宋体" w:eastAsia="宋体" w:cs="宋体"/>
          <w:b/>
          <w:bCs/>
          <w:snapToGrid w:val="0"/>
          <w:kern w:val="0"/>
          <w:sz w:val="24"/>
          <w:highlight w:val="none"/>
        </w:rPr>
        <w:t>7.1中标候选人公示</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7.1.1招标人自收到评标报告之日起3日内按评标报告推荐的中标候选人名单公示中标候选人，公示期不得少于3天（公示期间的最后1天应当为工作日，否则应当将公示期的最后1天顺延至下一个工作日）。</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bookmarkStart w:id="59" w:name="_bookmark61"/>
      <w:bookmarkEnd w:id="59"/>
      <w:r>
        <w:rPr>
          <w:rFonts w:hint="eastAsia" w:ascii="宋体" w:hAnsi="宋体" w:eastAsia="宋体" w:cs="宋体"/>
          <w:b/>
          <w:bCs/>
          <w:snapToGrid w:val="0"/>
          <w:kern w:val="0"/>
          <w:sz w:val="24"/>
          <w:highlight w:val="none"/>
        </w:rPr>
        <w:t>7.2定标方式</w:t>
      </w:r>
    </w:p>
    <w:p>
      <w:pPr>
        <w:pStyle w:val="8"/>
        <w:adjustRightInd w:val="0"/>
        <w:snapToGrid w:val="0"/>
        <w:spacing w:after="0" w:line="400" w:lineRule="exact"/>
        <w:ind w:firstLine="480" w:firstLineChars="200"/>
        <w:jc w:val="left"/>
        <w:rPr>
          <w:rFonts w:ascii="宋体" w:hAnsi="宋体" w:cs="宋体"/>
          <w:kern w:val="0"/>
          <w:sz w:val="24"/>
          <w:szCs w:val="24"/>
          <w:highlight w:val="none"/>
          <w:lang w:val="zh-CN"/>
        </w:rPr>
      </w:pPr>
      <w:r>
        <w:rPr>
          <w:rFonts w:hint="eastAsia" w:ascii="宋体" w:hAnsi="宋体" w:cs="宋体"/>
          <w:snapToGrid w:val="0"/>
          <w:kern w:val="0"/>
          <w:sz w:val="24"/>
          <w:szCs w:val="24"/>
          <w:highlight w:val="none"/>
        </w:rPr>
        <w:t>7.2.1</w:t>
      </w:r>
      <w:r>
        <w:rPr>
          <w:rFonts w:hint="eastAsia" w:ascii="宋体" w:hAnsi="宋体" w:cs="宋体"/>
          <w:kern w:val="0"/>
          <w:sz w:val="24"/>
          <w:szCs w:val="24"/>
          <w:highlight w:val="none"/>
          <w:lang w:val="zh-CN"/>
        </w:rPr>
        <w:t>定标由招标人负责，原则上应坚持评审小组推荐的第一中标候选人为中标人。</w:t>
      </w:r>
    </w:p>
    <w:p>
      <w:pPr>
        <w:pStyle w:val="8"/>
        <w:adjustRightInd w:val="0"/>
        <w:snapToGrid w:val="0"/>
        <w:spacing w:after="0" w:line="400" w:lineRule="exact"/>
        <w:ind w:firstLine="480" w:firstLineChars="200"/>
        <w:jc w:val="left"/>
        <w:rPr>
          <w:rFonts w:ascii="宋体" w:hAnsi="宋体" w:cs="宋体"/>
          <w:kern w:val="0"/>
          <w:sz w:val="24"/>
          <w:szCs w:val="24"/>
          <w:highlight w:val="none"/>
          <w:lang w:val="zh-CN"/>
        </w:rPr>
      </w:pPr>
      <w:r>
        <w:rPr>
          <w:rFonts w:hint="eastAsia" w:ascii="宋体" w:hAnsi="宋体" w:cs="宋体"/>
          <w:kern w:val="0"/>
          <w:sz w:val="24"/>
          <w:szCs w:val="24"/>
          <w:highlight w:val="none"/>
          <w:lang w:val="zh-CN"/>
        </w:rPr>
        <w:t>但如出现下列情形之一的，招标人将重新组织招标或按中标候选人名单排序依次确定其他中标候选人为中标人，也可以重新招标：</w:t>
      </w:r>
    </w:p>
    <w:p>
      <w:pPr>
        <w:pStyle w:val="8"/>
        <w:adjustRightInd w:val="0"/>
        <w:snapToGrid w:val="0"/>
        <w:spacing w:after="0" w:line="400" w:lineRule="exact"/>
        <w:ind w:firstLine="480" w:firstLineChars="200"/>
        <w:jc w:val="left"/>
        <w:rPr>
          <w:rFonts w:ascii="宋体" w:hAnsi="宋体" w:cs="宋体"/>
          <w:kern w:val="0"/>
          <w:sz w:val="24"/>
          <w:szCs w:val="24"/>
          <w:highlight w:val="none"/>
          <w:lang w:val="zh-CN"/>
        </w:rPr>
      </w:pPr>
      <w:r>
        <w:rPr>
          <w:rFonts w:hint="eastAsia" w:ascii="宋体" w:hAnsi="宋体" w:cs="宋体"/>
          <w:kern w:val="0"/>
          <w:sz w:val="24"/>
          <w:szCs w:val="24"/>
          <w:highlight w:val="none"/>
          <w:lang w:val="zh-CN"/>
        </w:rPr>
        <w:t>（1）排名第一的中标候选人放弃中标、因不可抗力不能履行合同、不按照招标文件要求提交履约保证金的、拒绝签订合同的；</w:t>
      </w:r>
    </w:p>
    <w:p>
      <w:pPr>
        <w:pStyle w:val="8"/>
        <w:adjustRightInd w:val="0"/>
        <w:snapToGrid w:val="0"/>
        <w:spacing w:after="0" w:line="400" w:lineRule="exact"/>
        <w:ind w:firstLine="480" w:firstLineChars="200"/>
        <w:jc w:val="left"/>
        <w:rPr>
          <w:rFonts w:ascii="宋体" w:hAnsi="宋体" w:cs="宋体"/>
          <w:kern w:val="0"/>
          <w:sz w:val="24"/>
          <w:szCs w:val="24"/>
          <w:highlight w:val="none"/>
          <w:lang w:val="zh-CN"/>
        </w:rPr>
      </w:pPr>
      <w:r>
        <w:rPr>
          <w:rFonts w:hint="eastAsia" w:ascii="宋体" w:hAnsi="宋体" w:cs="宋体"/>
          <w:kern w:val="0"/>
          <w:sz w:val="24"/>
          <w:szCs w:val="24"/>
          <w:highlight w:val="none"/>
          <w:lang w:val="zh-CN"/>
        </w:rPr>
        <w:t>（2）质疑成立的、被查实存在影响中标结果的违法行为等情形，不符合中标条件的。</w:t>
      </w:r>
    </w:p>
    <w:p>
      <w:pPr>
        <w:pStyle w:val="8"/>
        <w:adjustRightInd w:val="0"/>
        <w:snapToGrid w:val="0"/>
        <w:spacing w:after="0" w:line="400" w:lineRule="exact"/>
        <w:ind w:firstLine="480" w:firstLineChars="200"/>
        <w:jc w:val="left"/>
        <w:rPr>
          <w:rFonts w:ascii="宋体" w:hAnsi="宋体" w:cs="宋体"/>
          <w:kern w:val="0"/>
          <w:sz w:val="24"/>
          <w:szCs w:val="24"/>
          <w:highlight w:val="none"/>
          <w:lang w:val="zh-CN"/>
        </w:rPr>
      </w:pPr>
      <w:r>
        <w:rPr>
          <w:rFonts w:hint="eastAsia" w:ascii="宋体" w:hAnsi="宋体" w:cs="宋体"/>
          <w:kern w:val="0"/>
          <w:sz w:val="24"/>
          <w:szCs w:val="24"/>
          <w:highlight w:val="none"/>
          <w:lang w:val="zh-CN"/>
        </w:rPr>
        <w:t>第一中标候选人的经营、财务状况发生较大变化或者存在违法行为，招标人认为可能影响其履约能力的，应当在发出中标通知书前由原评标委员会按照招标文件规定的标准和方法审查确认。</w:t>
      </w:r>
    </w:p>
    <w:p>
      <w:pPr>
        <w:pStyle w:val="8"/>
        <w:spacing w:line="400" w:lineRule="exact"/>
        <w:outlineLvl w:val="2"/>
        <w:rPr>
          <w:rFonts w:ascii="宋体" w:hAnsi="宋体" w:cs="宋体"/>
          <w:b/>
          <w:bCs/>
          <w:snapToGrid w:val="0"/>
          <w:kern w:val="0"/>
          <w:sz w:val="24"/>
          <w:szCs w:val="24"/>
          <w:highlight w:val="none"/>
        </w:rPr>
      </w:pPr>
      <w:bookmarkStart w:id="60" w:name="_bookmark64"/>
      <w:bookmarkEnd w:id="60"/>
      <w:bookmarkStart w:id="61" w:name="_bookmark63"/>
      <w:bookmarkEnd w:id="61"/>
      <w:r>
        <w:rPr>
          <w:rFonts w:hint="eastAsia" w:ascii="宋体" w:hAnsi="宋体" w:cs="宋体"/>
          <w:b/>
          <w:bCs/>
          <w:snapToGrid w:val="0"/>
          <w:kern w:val="0"/>
          <w:sz w:val="24"/>
          <w:szCs w:val="24"/>
          <w:highlight w:val="none"/>
        </w:rPr>
        <w:t>7.3中标通知</w:t>
      </w:r>
    </w:p>
    <w:p>
      <w:pPr>
        <w:pStyle w:val="8"/>
        <w:adjustRightInd w:val="0"/>
        <w:snapToGrid w:val="0"/>
        <w:spacing w:after="0" w:line="400" w:lineRule="exact"/>
        <w:ind w:firstLine="480" w:firstLineChars="200"/>
        <w:jc w:val="left"/>
        <w:rPr>
          <w:rFonts w:ascii="宋体" w:hAnsi="宋体" w:cs="宋体"/>
          <w:b/>
          <w:snapToGrid w:val="0"/>
          <w:kern w:val="0"/>
          <w:sz w:val="24"/>
          <w:szCs w:val="24"/>
          <w:highlight w:val="none"/>
        </w:rPr>
      </w:pPr>
      <w:r>
        <w:rPr>
          <w:rFonts w:hint="eastAsia" w:ascii="宋体" w:hAnsi="宋体" w:cs="宋体"/>
          <w:snapToGrid w:val="0"/>
          <w:kern w:val="0"/>
          <w:sz w:val="24"/>
          <w:szCs w:val="24"/>
          <w:highlight w:val="none"/>
        </w:rPr>
        <w:t>7.3.1中标候选人公示期满，经招标人决标批准，</w:t>
      </w:r>
      <w:r>
        <w:rPr>
          <w:rFonts w:hint="eastAsia" w:ascii="宋体" w:hAnsi="宋体" w:cs="宋体"/>
          <w:b/>
          <w:snapToGrid w:val="0"/>
          <w:kern w:val="0"/>
          <w:sz w:val="24"/>
          <w:szCs w:val="24"/>
          <w:highlight w:val="none"/>
        </w:rPr>
        <w:t>确定中标人</w:t>
      </w:r>
      <w:r>
        <w:rPr>
          <w:rFonts w:hint="eastAsia" w:ascii="宋体" w:hAnsi="宋体" w:cs="宋体"/>
          <w:snapToGrid w:val="0"/>
          <w:kern w:val="0"/>
          <w:sz w:val="24"/>
          <w:szCs w:val="24"/>
          <w:highlight w:val="none"/>
        </w:rPr>
        <w:t>，在本章第4.10.1项规定的投标有效期内，招标人以书面形式向中标人发出中标通知书。</w:t>
      </w:r>
    </w:p>
    <w:p>
      <w:pPr>
        <w:snapToGrid w:val="0"/>
        <w:spacing w:line="400" w:lineRule="exact"/>
        <w:jc w:val="center"/>
        <w:outlineLvl w:val="1"/>
        <w:rPr>
          <w:rFonts w:ascii="宋体" w:hAnsi="宋体" w:eastAsia="宋体" w:cs="宋体"/>
          <w:bCs/>
          <w:snapToGrid w:val="0"/>
          <w:kern w:val="0"/>
          <w:sz w:val="24"/>
          <w:highlight w:val="none"/>
        </w:rPr>
      </w:pPr>
      <w:bookmarkStart w:id="62" w:name="_bookmark66"/>
      <w:bookmarkEnd w:id="62"/>
      <w:bookmarkStart w:id="63" w:name="_Toc6008"/>
      <w:bookmarkStart w:id="64" w:name="_Toc83886022"/>
      <w:r>
        <w:rPr>
          <w:rFonts w:hint="eastAsia" w:ascii="宋体" w:hAnsi="宋体" w:eastAsia="宋体" w:cs="宋体"/>
          <w:b/>
          <w:snapToGrid w:val="0"/>
          <w:kern w:val="0"/>
          <w:sz w:val="24"/>
          <w:highlight w:val="none"/>
        </w:rPr>
        <w:t>8、合同的授予</w:t>
      </w:r>
      <w:bookmarkEnd w:id="63"/>
      <w:bookmarkEnd w:id="64"/>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8.1签订合同</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8.1.1招标人和中标人应当在中标通知书发出之日起30日内，根据招标文件和中标人的投标文件订立书面合同。中标人无正当理由拒签合同，在签订合同时向招标人提出附加条件，或者不按照招标文件要求提交履约保证金的，以违约处理，招标人有权取消其中标资格，其投标保证金不予退回，已交履约保证金的，履约保证金不予退还。给招标人造成的损失超过投标保证金数额的，中标人还应当对超过部分予以赔偿。</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8.1.2发出中标通知书后，招标人无正当理由拒签合同，或者在签订合同时向中标人提出附加条件的，招标人向中标人退还投标保证金；给中标人造成损失的，还应当赔偿损失。</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8.1.3联合体中标的，联合体各方应当共同与招标人签订合同，就中标项目向招标人承担连带责任。</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8.2履约保证金</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8.2.1在签订合同前，中标人应按投标人须知前附表规定的形式、金额和招标文件第六章“合同条款及格式”规定的或者事先经过招标人书面认可的履约保证金格式向招标人提交履约保证金。除投标人须知前附表另有规定外，履约保证金不超过中标合同金额的10%。联合体中标的，其履约保证金以联合体牵头人的名义提交。</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8.2.2中标人不能按本章第8.2.1项要求提交履约保证金的，视为放弃中标，其投标保证金不予退还，给招标人造成的损失超过投标保证金数额的，中标人还应当对超过部分予以赔偿。</w:t>
      </w:r>
    </w:p>
    <w:p>
      <w:pPr>
        <w:snapToGrid w:val="0"/>
        <w:spacing w:line="400" w:lineRule="exact"/>
        <w:jc w:val="center"/>
        <w:outlineLvl w:val="1"/>
        <w:rPr>
          <w:rFonts w:ascii="宋体" w:hAnsi="宋体" w:eastAsia="宋体" w:cs="宋体"/>
          <w:b/>
          <w:snapToGrid w:val="0"/>
          <w:kern w:val="0"/>
          <w:sz w:val="24"/>
          <w:highlight w:val="none"/>
        </w:rPr>
      </w:pPr>
      <w:bookmarkStart w:id="65" w:name="_Toc220123241"/>
      <w:bookmarkStart w:id="66" w:name="_Toc219809801"/>
      <w:bookmarkStart w:id="67" w:name="_Toc11806"/>
      <w:bookmarkStart w:id="68" w:name="_Toc12528"/>
      <w:bookmarkStart w:id="69" w:name="_Toc83886023"/>
      <w:r>
        <w:rPr>
          <w:rFonts w:hint="eastAsia" w:ascii="宋体" w:hAnsi="宋体" w:eastAsia="宋体" w:cs="宋体"/>
          <w:b/>
          <w:snapToGrid w:val="0"/>
          <w:kern w:val="0"/>
          <w:sz w:val="24"/>
          <w:highlight w:val="none"/>
        </w:rPr>
        <w:t>9、</w:t>
      </w:r>
      <w:bookmarkEnd w:id="65"/>
      <w:bookmarkEnd w:id="66"/>
      <w:bookmarkEnd w:id="67"/>
      <w:r>
        <w:rPr>
          <w:rFonts w:hint="eastAsia" w:ascii="宋体" w:hAnsi="宋体" w:eastAsia="宋体" w:cs="宋体"/>
          <w:b/>
          <w:snapToGrid w:val="0"/>
          <w:kern w:val="0"/>
          <w:sz w:val="24"/>
          <w:highlight w:val="none"/>
        </w:rPr>
        <w:t>招标失败</w:t>
      </w:r>
      <w:bookmarkEnd w:id="68"/>
      <w:bookmarkEnd w:id="69"/>
      <w:bookmarkStart w:id="70" w:name="_Toc220123242"/>
      <w:bookmarkStart w:id="71" w:name="_Toc15553"/>
      <w:bookmarkStart w:id="72" w:name="_Toc219809802"/>
    </w:p>
    <w:p>
      <w:pPr>
        <w:snapToGrid w:val="0"/>
        <w:spacing w:line="400" w:lineRule="exact"/>
        <w:rPr>
          <w:rFonts w:ascii="宋体" w:hAnsi="宋体" w:eastAsia="宋体" w:cs="宋体"/>
          <w:b/>
          <w:bCs/>
          <w:snapToGrid w:val="0"/>
          <w:kern w:val="0"/>
          <w:sz w:val="24"/>
          <w:highlight w:val="none"/>
        </w:rPr>
      </w:pPr>
      <w:bookmarkStart w:id="73" w:name="_Toc21538"/>
      <w:r>
        <w:rPr>
          <w:rFonts w:hint="eastAsia" w:ascii="宋体" w:hAnsi="宋体" w:eastAsia="宋体" w:cs="宋体"/>
          <w:b/>
          <w:bCs/>
          <w:snapToGrid w:val="0"/>
          <w:kern w:val="0"/>
          <w:sz w:val="24"/>
          <w:highlight w:val="none"/>
        </w:rPr>
        <w:t>9.1 招标</w:t>
      </w:r>
      <w:bookmarkEnd w:id="70"/>
      <w:bookmarkEnd w:id="71"/>
      <w:bookmarkEnd w:id="72"/>
      <w:r>
        <w:rPr>
          <w:rFonts w:hint="eastAsia" w:ascii="宋体" w:hAnsi="宋体" w:eastAsia="宋体" w:cs="宋体"/>
          <w:b/>
          <w:bCs/>
          <w:snapToGrid w:val="0"/>
          <w:kern w:val="0"/>
          <w:sz w:val="24"/>
          <w:highlight w:val="none"/>
        </w:rPr>
        <w:t>失败</w:t>
      </w:r>
      <w:bookmarkEnd w:id="73"/>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9.1.1有下列情形之一的，本次项目招标失败：</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（1）招标文件的内容不符合法律法规的规定或存在重大缺陷影响潜在投标人投标的；</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（2）至投标截止时间，投标人数不足3家的；</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（3）经评标委员会评审后否决所有投标的；</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（4）中标候选人放弃中标或不符合中标条件，招标人未选择其余中标候选人的。</w:t>
      </w:r>
    </w:p>
    <w:bookmarkEnd w:id="58"/>
    <w:p>
      <w:pPr>
        <w:snapToGrid w:val="0"/>
        <w:spacing w:line="400" w:lineRule="exact"/>
        <w:jc w:val="center"/>
        <w:outlineLvl w:val="1"/>
        <w:rPr>
          <w:rFonts w:ascii="宋体" w:hAnsi="宋体" w:eastAsia="宋体" w:cs="宋体"/>
          <w:b/>
          <w:snapToGrid w:val="0"/>
          <w:kern w:val="0"/>
          <w:sz w:val="24"/>
          <w:highlight w:val="none"/>
        </w:rPr>
      </w:pPr>
      <w:bookmarkStart w:id="74" w:name="_bookmark62"/>
      <w:bookmarkEnd w:id="74"/>
      <w:bookmarkStart w:id="75" w:name="_bookmark65"/>
      <w:bookmarkEnd w:id="75"/>
      <w:bookmarkStart w:id="76" w:name="_Toc219809804"/>
      <w:bookmarkStart w:id="77" w:name="_Toc2986"/>
      <w:bookmarkStart w:id="78" w:name="_Toc215941254"/>
      <w:bookmarkStart w:id="79" w:name="_Toc220123244"/>
      <w:bookmarkStart w:id="80" w:name="_Toc3631"/>
      <w:bookmarkStart w:id="81" w:name="_Toc83886024"/>
      <w:r>
        <w:rPr>
          <w:rFonts w:hint="eastAsia" w:ascii="宋体" w:hAnsi="宋体" w:eastAsia="宋体" w:cs="宋体"/>
          <w:b/>
          <w:snapToGrid w:val="0"/>
          <w:kern w:val="0"/>
          <w:sz w:val="24"/>
          <w:highlight w:val="none"/>
        </w:rPr>
        <w:t>10、异议、投</w:t>
      </w:r>
      <w:bookmarkEnd w:id="76"/>
      <w:bookmarkEnd w:id="77"/>
      <w:bookmarkEnd w:id="78"/>
      <w:bookmarkEnd w:id="79"/>
      <w:r>
        <w:rPr>
          <w:rFonts w:hint="eastAsia" w:ascii="宋体" w:hAnsi="宋体" w:eastAsia="宋体" w:cs="宋体"/>
          <w:b/>
          <w:snapToGrid w:val="0"/>
          <w:kern w:val="0"/>
          <w:sz w:val="24"/>
          <w:highlight w:val="none"/>
        </w:rPr>
        <w:t>诉、监督</w:t>
      </w:r>
      <w:bookmarkEnd w:id="80"/>
      <w:bookmarkEnd w:id="81"/>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10.1异议</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10.1.1投标人或者其他利害关系人对招标文件有异议的，应当在投标截止时间10日前以书面形式提出。招标人应当自收到异议之日起3日内作出答复；作出答复前，将暂停招标投标活动。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10.1.2投标人对开标有异议的，应当在开标会议结束前提出，招标人当场作出答复，并制作记录。</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10.1.3投标人或者其他利害关系人对评标结果有异议的，应当在中标候选人公示期间提出。招标人将在收到异议之日起3日内作出答复；作出答复前，将暂停招标投标活动。</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10.1.4异议书须包括以下内容（加盖单位公章）：</w:t>
      </w:r>
    </w:p>
    <w:p>
      <w:pPr>
        <w:pStyle w:val="49"/>
        <w:numPr>
          <w:ilvl w:val="0"/>
          <w:numId w:val="2"/>
        </w:numPr>
        <w:spacing w:line="400" w:lineRule="exact"/>
        <w:ind w:firstLineChars="0"/>
        <w:rPr>
          <w:rFonts w:ascii="宋体" w:hAnsi="宋体" w:cs="宋体"/>
          <w:snapToGrid w:val="0"/>
          <w:kern w:val="0"/>
          <w:sz w:val="24"/>
          <w:highlight w:val="none"/>
        </w:rPr>
      </w:pPr>
      <w:r>
        <w:rPr>
          <w:rFonts w:hint="eastAsia" w:ascii="宋体" w:hAnsi="宋体" w:cs="宋体"/>
          <w:snapToGrid w:val="0"/>
          <w:kern w:val="0"/>
          <w:sz w:val="24"/>
          <w:highlight w:val="none"/>
        </w:rPr>
        <w:t>异议人的名称、地址、邮政编码、联系人、联系电话，以及被异议人名称及联系方式；</w:t>
      </w:r>
    </w:p>
    <w:p>
      <w:pPr>
        <w:pStyle w:val="49"/>
        <w:numPr>
          <w:ilvl w:val="0"/>
          <w:numId w:val="2"/>
        </w:numPr>
        <w:spacing w:line="400" w:lineRule="exact"/>
        <w:ind w:firstLineChars="0"/>
        <w:rPr>
          <w:rFonts w:ascii="宋体" w:hAnsi="宋体" w:cs="宋体"/>
          <w:snapToGrid w:val="0"/>
          <w:kern w:val="0"/>
          <w:sz w:val="24"/>
          <w:highlight w:val="none"/>
        </w:rPr>
      </w:pPr>
      <w:r>
        <w:rPr>
          <w:rFonts w:hint="eastAsia" w:ascii="宋体" w:hAnsi="宋体" w:cs="宋体"/>
          <w:snapToGrid w:val="0"/>
          <w:kern w:val="0"/>
          <w:sz w:val="24"/>
          <w:highlight w:val="none"/>
        </w:rPr>
        <w:t>被异议采购项目名称、编号及采购内容；</w:t>
      </w:r>
    </w:p>
    <w:p>
      <w:pPr>
        <w:pStyle w:val="49"/>
        <w:numPr>
          <w:ilvl w:val="0"/>
          <w:numId w:val="2"/>
        </w:numPr>
        <w:spacing w:line="400" w:lineRule="exact"/>
        <w:ind w:firstLineChars="0"/>
        <w:rPr>
          <w:rFonts w:ascii="宋体" w:hAnsi="宋体" w:cs="宋体"/>
          <w:snapToGrid w:val="0"/>
          <w:kern w:val="0"/>
          <w:sz w:val="24"/>
          <w:highlight w:val="none"/>
        </w:rPr>
      </w:pPr>
      <w:r>
        <w:rPr>
          <w:rFonts w:hint="eastAsia" w:ascii="宋体" w:hAnsi="宋体" w:cs="宋体"/>
          <w:snapToGrid w:val="0"/>
          <w:kern w:val="0"/>
          <w:sz w:val="24"/>
          <w:highlight w:val="none"/>
        </w:rPr>
        <w:t>具体的异议事项及事实依据；</w:t>
      </w:r>
    </w:p>
    <w:p>
      <w:pPr>
        <w:pStyle w:val="49"/>
        <w:numPr>
          <w:ilvl w:val="0"/>
          <w:numId w:val="2"/>
        </w:numPr>
        <w:spacing w:line="400" w:lineRule="exact"/>
        <w:ind w:firstLineChars="0"/>
        <w:rPr>
          <w:rFonts w:ascii="宋体" w:hAnsi="宋体" w:cs="宋体"/>
          <w:snapToGrid w:val="0"/>
          <w:kern w:val="0"/>
          <w:sz w:val="24"/>
          <w:highlight w:val="none"/>
        </w:rPr>
      </w:pPr>
      <w:r>
        <w:rPr>
          <w:rFonts w:hint="eastAsia" w:ascii="宋体" w:hAnsi="宋体" w:cs="宋体"/>
          <w:snapToGrid w:val="0"/>
          <w:kern w:val="0"/>
          <w:sz w:val="24"/>
          <w:highlight w:val="none"/>
        </w:rPr>
        <w:t>认为自己合法权益受到损害或可能受到损害的相关证据材料；</w:t>
      </w:r>
    </w:p>
    <w:p>
      <w:pPr>
        <w:pStyle w:val="49"/>
        <w:numPr>
          <w:ilvl w:val="0"/>
          <w:numId w:val="2"/>
        </w:numPr>
        <w:spacing w:line="400" w:lineRule="exact"/>
        <w:ind w:firstLineChars="0"/>
        <w:rPr>
          <w:rFonts w:ascii="宋体" w:hAnsi="宋体" w:cs="宋体"/>
          <w:snapToGrid w:val="0"/>
          <w:kern w:val="0"/>
          <w:sz w:val="24"/>
          <w:highlight w:val="none"/>
        </w:rPr>
      </w:pPr>
      <w:r>
        <w:rPr>
          <w:rFonts w:hint="eastAsia" w:ascii="宋体" w:hAnsi="宋体" w:cs="宋体"/>
          <w:snapToGrid w:val="0"/>
          <w:kern w:val="0"/>
          <w:sz w:val="24"/>
          <w:highlight w:val="none"/>
        </w:rPr>
        <w:t>提出异议的日期。</w:t>
      </w:r>
    </w:p>
    <w:p>
      <w:pPr>
        <w:pStyle w:val="49"/>
        <w:spacing w:line="400" w:lineRule="exact"/>
        <w:ind w:firstLine="480"/>
        <w:rPr>
          <w:rFonts w:ascii="宋体" w:hAnsi="宋体" w:cs="宋体"/>
          <w:snapToGrid w:val="0"/>
          <w:kern w:val="0"/>
          <w:sz w:val="24"/>
          <w:highlight w:val="none"/>
        </w:rPr>
      </w:pPr>
      <w:r>
        <w:rPr>
          <w:rFonts w:hint="eastAsia" w:ascii="宋体" w:hAnsi="宋体" w:cs="宋体"/>
          <w:sz w:val="24"/>
          <w:highlight w:val="none"/>
        </w:rPr>
        <w:t>投标人如未按照上述要求提交异议书，招标人（招标代理机构）有权要求投标人对材料予以修改，逾期未提交或未按照要求提交的异议函，招标人（招标代理机构）将不予受理。</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10.2投诉</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10.2.1投标人或者其他利害关系人认为招标投标活动不符合法律、行政法规规定的，可以自知道或者应当知道之日起10日内向监督人投诉。投诉应当有明确的请求和必要的证明材料。</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10.2.2投标人或者其他利害关系人对招标文件、开标和评标结果提出投诉的，应当按照投标人须知第10.1款的规定先向招标人提出异议。异议答复期间不计算在第10.2.1项规定的期限内。</w:t>
      </w:r>
    </w:p>
    <w:p>
      <w:pPr>
        <w:pStyle w:val="8"/>
        <w:adjustRightInd w:val="0"/>
        <w:snapToGrid w:val="0"/>
        <w:spacing w:after="0" w:line="400" w:lineRule="exact"/>
        <w:ind w:firstLine="480" w:firstLineChars="200"/>
        <w:jc w:val="left"/>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10.2.3因有异议，招标人具有最终解释权，并对由此而引起的对投标人的影响不承担责任，也不解释原因。</w:t>
      </w:r>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10.3纪律和监督</w:t>
      </w:r>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10.3.1对招标人（招标代理机构）的纪律要求：招标人（招标代理机构）不得明示或者暗示其倾向或者排斥特定投标人，不得泄露招标投标活动中应当保密的情况和资料，不得与投标人串通损害国家利益、社会公共利益或者他人合法权益。</w:t>
      </w:r>
    </w:p>
    <w:p>
      <w:pPr>
        <w:adjustRightInd w:val="0"/>
        <w:snapToGrid w:val="0"/>
        <w:spacing w:line="400" w:lineRule="exact"/>
        <w:ind w:firstLine="480" w:firstLineChars="200"/>
        <w:rPr>
          <w:rFonts w:ascii="宋体" w:hAnsi="宋体" w:eastAsia="宋体" w:cs="宋体"/>
          <w:snapToGrid w:val="0"/>
          <w:kern w:val="0"/>
          <w:sz w:val="24"/>
          <w:highlight w:val="none"/>
        </w:rPr>
      </w:pPr>
      <w:bookmarkStart w:id="82" w:name="_bookmark69"/>
      <w:bookmarkEnd w:id="82"/>
      <w:r>
        <w:rPr>
          <w:rFonts w:hint="eastAsia" w:ascii="宋体" w:hAnsi="宋体" w:eastAsia="宋体" w:cs="宋体"/>
          <w:snapToGrid w:val="0"/>
          <w:kern w:val="0"/>
          <w:sz w:val="24"/>
          <w:highlight w:val="none"/>
        </w:rPr>
        <w:t>10.3.2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bookmarkStart w:id="83" w:name="_bookmark70"/>
      <w:bookmarkEnd w:id="83"/>
    </w:p>
    <w:p>
      <w:pPr>
        <w:adjustRightInd w:val="0"/>
        <w:snapToGrid w:val="0"/>
        <w:spacing w:line="400" w:lineRule="exact"/>
        <w:ind w:firstLine="480" w:firstLineChars="2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10.3.3对评标委员会成员的纪律要求：评标委员会成员不得私下接触投标人，不得向招标人征询确定中标人的意向，不得接受任何单位或者个人明示或者暗示提出的倾向或者排斥特定投标人的要求，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四章“评标办法及评价标准”没有规定的评审因素和标准进行评标。</w:t>
      </w:r>
    </w:p>
    <w:p>
      <w:pPr>
        <w:adjustRightInd w:val="0"/>
        <w:snapToGrid w:val="0"/>
        <w:spacing w:line="400" w:lineRule="exact"/>
        <w:ind w:firstLine="480" w:firstLineChars="200"/>
        <w:rPr>
          <w:rFonts w:ascii="宋体" w:hAnsi="宋体" w:eastAsia="宋体" w:cs="宋体"/>
          <w:snapToGrid w:val="0"/>
          <w:kern w:val="0"/>
          <w:sz w:val="24"/>
          <w:highlight w:val="none"/>
        </w:rPr>
      </w:pPr>
      <w:bookmarkStart w:id="84" w:name="_bookmark71"/>
      <w:bookmarkEnd w:id="84"/>
      <w:r>
        <w:rPr>
          <w:rFonts w:hint="eastAsia" w:ascii="宋体" w:hAnsi="宋体" w:eastAsia="宋体" w:cs="宋体"/>
          <w:snapToGrid w:val="0"/>
          <w:kern w:val="0"/>
          <w:sz w:val="24"/>
          <w:highlight w:val="none"/>
        </w:rPr>
        <w:t>10.3.4对与评标活动有关的工作人员的纪律要求：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snapToGrid w:val="0"/>
        <w:spacing w:line="400" w:lineRule="exact"/>
        <w:jc w:val="center"/>
        <w:outlineLvl w:val="1"/>
        <w:rPr>
          <w:rFonts w:ascii="宋体" w:hAnsi="宋体" w:eastAsia="宋体" w:cs="宋体"/>
          <w:b/>
          <w:snapToGrid w:val="0"/>
          <w:kern w:val="0"/>
          <w:sz w:val="24"/>
          <w:highlight w:val="none"/>
        </w:rPr>
      </w:pPr>
      <w:bookmarkStart w:id="85" w:name="_bookmark72"/>
      <w:bookmarkEnd w:id="85"/>
      <w:bookmarkStart w:id="86" w:name="_bookmark74"/>
      <w:bookmarkEnd w:id="86"/>
      <w:bookmarkStart w:id="87" w:name="_bookmark73"/>
      <w:bookmarkEnd w:id="87"/>
      <w:bookmarkStart w:id="88" w:name="_Toc83886025"/>
      <w:bookmarkStart w:id="89" w:name="_Toc24016"/>
      <w:r>
        <w:rPr>
          <w:rFonts w:hint="eastAsia" w:ascii="宋体" w:hAnsi="宋体" w:eastAsia="宋体" w:cs="宋体"/>
          <w:b/>
          <w:snapToGrid w:val="0"/>
          <w:kern w:val="0"/>
          <w:sz w:val="24"/>
          <w:highlight w:val="none"/>
        </w:rPr>
        <w:t>11、需要补充的其他内容</w:t>
      </w:r>
      <w:bookmarkEnd w:id="88"/>
      <w:bookmarkEnd w:id="89"/>
    </w:p>
    <w:p>
      <w:pPr>
        <w:keepNext/>
        <w:keepLines/>
        <w:adjustRightInd w:val="0"/>
        <w:snapToGrid w:val="0"/>
        <w:spacing w:line="400" w:lineRule="exact"/>
        <w:jc w:val="left"/>
        <w:outlineLvl w:val="2"/>
        <w:rPr>
          <w:rFonts w:ascii="宋体" w:hAnsi="宋体" w:eastAsia="宋体" w:cs="宋体"/>
          <w:b/>
          <w:bCs/>
          <w:snapToGrid w:val="0"/>
          <w:kern w:val="0"/>
          <w:sz w:val="24"/>
          <w:highlight w:val="none"/>
        </w:rPr>
      </w:pPr>
      <w:r>
        <w:rPr>
          <w:rFonts w:hint="eastAsia" w:ascii="宋体" w:hAnsi="宋体" w:eastAsia="宋体" w:cs="宋体"/>
          <w:b/>
          <w:bCs/>
          <w:snapToGrid w:val="0"/>
          <w:kern w:val="0"/>
          <w:sz w:val="24"/>
          <w:highlight w:val="none"/>
        </w:rPr>
        <w:t>11.1需要补充的其他内容</w:t>
      </w:r>
    </w:p>
    <w:p>
      <w:pPr>
        <w:adjustRightInd w:val="0"/>
        <w:snapToGrid w:val="0"/>
        <w:spacing w:line="400" w:lineRule="exact"/>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11.1.1需要补充的其他内容：见投标人须知前附表。</w:t>
      </w:r>
    </w:p>
    <w:p>
      <w:pPr>
        <w:adjustRightInd w:val="0"/>
        <w:snapToGrid w:val="0"/>
        <w:spacing w:line="400" w:lineRule="exact"/>
        <w:ind w:firstLine="640" w:firstLineChars="200"/>
        <w:jc w:val="center"/>
        <w:outlineLvl w:val="0"/>
        <w:rPr>
          <w:rFonts w:ascii="宋体" w:hAnsi="宋体" w:eastAsia="宋体" w:cs="宋体"/>
          <w:bCs/>
          <w:highlight w:val="none"/>
        </w:rPr>
      </w:pPr>
      <w:r>
        <w:rPr>
          <w:rFonts w:hint="eastAsia" w:ascii="宋体" w:hAnsi="宋体" w:eastAsia="宋体" w:cs="宋体"/>
          <w:bCs/>
          <w:highlight w:val="none"/>
        </w:rPr>
        <w:br w:type="page"/>
      </w:r>
      <w:bookmarkStart w:id="90" w:name="_Toc31617"/>
      <w:bookmarkStart w:id="91" w:name="_Toc83886026"/>
      <w:r>
        <w:rPr>
          <w:rFonts w:hint="eastAsia" w:ascii="宋体" w:hAnsi="宋体" w:eastAsia="宋体" w:cs="宋体"/>
          <w:b/>
          <w:highlight w:val="none"/>
        </w:rPr>
        <w:t>第三章  用户需求</w:t>
      </w:r>
      <w:bookmarkEnd w:id="90"/>
      <w:bookmarkEnd w:id="91"/>
      <w:r>
        <w:rPr>
          <w:rFonts w:hint="eastAsia" w:ascii="宋体" w:hAnsi="宋体" w:eastAsia="宋体" w:cs="宋体"/>
          <w:b/>
          <w:highlight w:val="none"/>
        </w:rPr>
        <w:t>及技术要求</w:t>
      </w:r>
    </w:p>
    <w:p>
      <w:pPr>
        <w:spacing w:line="360" w:lineRule="auto"/>
        <w:ind w:firstLine="523" w:firstLineChars="217"/>
        <w:rPr>
          <w:rFonts w:ascii="宋体" w:hAnsi="宋体" w:eastAsia="宋体" w:cs="宋体"/>
          <w:b/>
          <w:bCs/>
          <w:sz w:val="24"/>
          <w:highlight w:val="none"/>
        </w:rPr>
      </w:pPr>
      <w:r>
        <w:rPr>
          <w:rFonts w:hint="eastAsia" w:ascii="宋体" w:hAnsi="宋体" w:eastAsia="宋体" w:cs="宋体"/>
          <w:b/>
          <w:bCs/>
          <w:sz w:val="24"/>
          <w:highlight w:val="none"/>
        </w:rPr>
        <w:t>一、项目概况</w:t>
      </w:r>
    </w:p>
    <w:p>
      <w:pPr>
        <w:spacing w:line="360" w:lineRule="auto"/>
        <w:ind w:firstLine="520" w:firstLineChars="217"/>
        <w:rPr>
          <w:rFonts w:ascii="宋体" w:hAnsi="宋体" w:eastAsia="宋体" w:cs="宋体"/>
          <w:sz w:val="24"/>
          <w:highlight w:val="none"/>
        </w:rPr>
      </w:pPr>
      <w:r>
        <w:rPr>
          <w:rFonts w:hint="eastAsia" w:ascii="宋体" w:hAnsi="宋体" w:eastAsia="宋体" w:cs="宋体"/>
          <w:sz w:val="24"/>
          <w:highlight w:val="none"/>
        </w:rPr>
        <w:t>杭州临江环境能源有限公司下设能源运行中心和三固运行中心，能源运行中心经营生活垃圾焚烧发电业务，三固运行中心经营危废、医废焚烧处置，共计</w:t>
      </w:r>
      <w:bookmarkStart w:id="92" w:name="_Hlk147650141"/>
      <w:r>
        <w:rPr>
          <w:rFonts w:ascii="宋体" w:hAnsi="宋体" w:eastAsia="宋体" w:cs="宋体"/>
          <w:sz w:val="24"/>
          <w:highlight w:val="none"/>
        </w:rPr>
        <w:t>15</w:t>
      </w:r>
      <w:r>
        <w:rPr>
          <w:rFonts w:hint="eastAsia" w:ascii="宋体" w:hAnsi="宋体" w:eastAsia="宋体" w:cs="宋体"/>
          <w:sz w:val="24"/>
          <w:highlight w:val="none"/>
        </w:rPr>
        <w:t>台行车、</w:t>
      </w:r>
      <w:r>
        <w:rPr>
          <w:rFonts w:ascii="宋体" w:hAnsi="宋体" w:eastAsia="宋体" w:cs="宋体"/>
          <w:sz w:val="24"/>
          <w:highlight w:val="none"/>
        </w:rPr>
        <w:t>1</w:t>
      </w:r>
      <w:r>
        <w:rPr>
          <w:rFonts w:hint="eastAsia" w:ascii="宋体" w:hAnsi="宋体" w:eastAsia="宋体" w:cs="宋体"/>
          <w:sz w:val="24"/>
          <w:highlight w:val="none"/>
        </w:rPr>
        <w:t>8个抓斗及</w:t>
      </w:r>
      <w:r>
        <w:rPr>
          <w:rFonts w:ascii="宋体" w:hAnsi="宋体" w:eastAsia="宋体" w:cs="宋体"/>
          <w:sz w:val="24"/>
          <w:highlight w:val="none"/>
        </w:rPr>
        <w:t>6台电动葫芦</w:t>
      </w:r>
      <w:bookmarkEnd w:id="92"/>
      <w:r>
        <w:rPr>
          <w:rFonts w:hint="eastAsia" w:ascii="宋体" w:hAnsi="宋体" w:eastAsia="宋体" w:cs="宋体"/>
          <w:sz w:val="24"/>
          <w:highlight w:val="none"/>
        </w:rPr>
        <w:t>，负责起重机及抓斗的维护保养、专业检查、抢修等所有常规业务。设备配置如表如下：</w:t>
      </w:r>
    </w:p>
    <w:p>
      <w:pPr>
        <w:spacing w:line="360" w:lineRule="auto"/>
        <w:ind w:firstLine="523" w:firstLineChars="217"/>
        <w:rPr>
          <w:rFonts w:ascii="宋体" w:hAnsi="宋体" w:eastAsia="宋体" w:cs="宋体"/>
          <w:b/>
          <w:bCs/>
          <w:sz w:val="24"/>
          <w:highlight w:val="none"/>
        </w:rPr>
      </w:pPr>
      <w:r>
        <w:rPr>
          <w:rFonts w:ascii="宋体" w:hAnsi="宋体" w:eastAsia="宋体" w:cs="宋体"/>
          <w:b/>
          <w:bCs/>
          <w:sz w:val="24"/>
          <w:highlight w:val="none"/>
        </w:rPr>
        <w:t>1.</w:t>
      </w:r>
      <w:r>
        <w:rPr>
          <w:rFonts w:hint="eastAsia" w:ascii="宋体" w:hAnsi="宋体" w:eastAsia="宋体" w:cs="宋体"/>
          <w:b/>
          <w:bCs/>
          <w:sz w:val="24"/>
          <w:highlight w:val="none"/>
        </w:rPr>
        <w:t>能源运行中心</w:t>
      </w:r>
    </w:p>
    <w:tbl>
      <w:tblPr>
        <w:tblStyle w:val="2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762"/>
        <w:gridCol w:w="2757"/>
        <w:gridCol w:w="1800"/>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序号</w:t>
            </w:r>
          </w:p>
        </w:tc>
        <w:tc>
          <w:tcPr>
            <w:tcW w:w="1762"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设备名称</w:t>
            </w:r>
          </w:p>
        </w:tc>
        <w:tc>
          <w:tcPr>
            <w:tcW w:w="2757"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设备品牌及型号</w:t>
            </w:r>
          </w:p>
        </w:tc>
        <w:tc>
          <w:tcPr>
            <w:tcW w:w="1800"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数量</w:t>
            </w:r>
          </w:p>
        </w:tc>
        <w:tc>
          <w:tcPr>
            <w:tcW w:w="2200"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投入运行时间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1</w:t>
            </w:r>
          </w:p>
        </w:tc>
        <w:tc>
          <w:tcPr>
            <w:tcW w:w="1762" w:type="dxa"/>
            <w:noWrap/>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垃圾吊行车</w:t>
            </w:r>
          </w:p>
        </w:tc>
        <w:tc>
          <w:tcPr>
            <w:tcW w:w="2757" w:type="dxa"/>
            <w:noWrap/>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20t</w:t>
            </w:r>
            <w:r>
              <w:rPr>
                <w:rFonts w:hint="eastAsia" w:ascii="宋体" w:hAnsi="宋体" w:eastAsia="宋体" w:cs="宋体"/>
                <w:sz w:val="24"/>
                <w:highlight w:val="none"/>
              </w:rPr>
              <w:t>—</w:t>
            </w:r>
            <w:r>
              <w:rPr>
                <w:rFonts w:ascii="宋体" w:hAnsi="宋体" w:eastAsia="宋体" w:cs="宋体"/>
                <w:sz w:val="24"/>
                <w:highlight w:val="none"/>
              </w:rPr>
              <w:t>38.7m  A8，科尼</w:t>
            </w:r>
          </w:p>
        </w:tc>
        <w:tc>
          <w:tcPr>
            <w:tcW w:w="18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6台</w:t>
            </w:r>
          </w:p>
        </w:tc>
        <w:tc>
          <w:tcPr>
            <w:tcW w:w="22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w:t>
            </w:r>
          </w:p>
        </w:tc>
        <w:tc>
          <w:tcPr>
            <w:tcW w:w="1762" w:type="dxa"/>
            <w:noWrap/>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渣吊行车</w:t>
            </w:r>
          </w:p>
        </w:tc>
        <w:tc>
          <w:tcPr>
            <w:tcW w:w="2757" w:type="dxa"/>
            <w:noWrap/>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QZZY10t-4.8m  A8，北起</w:t>
            </w:r>
          </w:p>
        </w:tc>
        <w:tc>
          <w:tcPr>
            <w:tcW w:w="18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4台</w:t>
            </w:r>
          </w:p>
        </w:tc>
        <w:tc>
          <w:tcPr>
            <w:tcW w:w="22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3</w:t>
            </w:r>
          </w:p>
        </w:tc>
        <w:tc>
          <w:tcPr>
            <w:tcW w:w="1762" w:type="dxa"/>
            <w:noWrap/>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汽机吊行车</w:t>
            </w:r>
          </w:p>
        </w:tc>
        <w:tc>
          <w:tcPr>
            <w:tcW w:w="2757" w:type="dxa"/>
            <w:noWrap/>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QD50/10t</w:t>
            </w:r>
            <w:r>
              <w:rPr>
                <w:rFonts w:hint="eastAsia" w:ascii="宋体" w:hAnsi="宋体" w:eastAsia="宋体" w:cs="宋体"/>
                <w:sz w:val="24"/>
                <w:highlight w:val="none"/>
              </w:rPr>
              <w:t>—</w:t>
            </w:r>
            <w:r>
              <w:rPr>
                <w:rFonts w:ascii="宋体" w:hAnsi="宋体" w:eastAsia="宋体" w:cs="宋体"/>
                <w:sz w:val="24"/>
                <w:highlight w:val="none"/>
              </w:rPr>
              <w:t>45m A5，</w:t>
            </w:r>
            <w:r>
              <w:rPr>
                <w:rFonts w:hint="eastAsia" w:ascii="宋体" w:hAnsi="宋体" w:eastAsia="宋体" w:cs="宋体"/>
                <w:sz w:val="24"/>
                <w:highlight w:val="none"/>
              </w:rPr>
              <w:t>北起</w:t>
            </w:r>
          </w:p>
        </w:tc>
        <w:tc>
          <w:tcPr>
            <w:tcW w:w="18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1台</w:t>
            </w:r>
          </w:p>
        </w:tc>
        <w:tc>
          <w:tcPr>
            <w:tcW w:w="22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4</w:t>
            </w:r>
          </w:p>
        </w:tc>
        <w:tc>
          <w:tcPr>
            <w:tcW w:w="1762"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液压抓斗</w:t>
            </w:r>
          </w:p>
        </w:tc>
        <w:tc>
          <w:tcPr>
            <w:tcW w:w="2757"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MMGL12000-4，佩纳</w:t>
            </w:r>
          </w:p>
        </w:tc>
        <w:tc>
          <w:tcPr>
            <w:tcW w:w="18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8台</w:t>
            </w:r>
          </w:p>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w:t>
            </w:r>
            <w:r>
              <w:rPr>
                <w:rFonts w:ascii="宋体" w:hAnsi="宋体" w:eastAsia="宋体" w:cs="宋体"/>
                <w:sz w:val="24"/>
                <w:highlight w:val="none"/>
              </w:rPr>
              <w:t>6用2备</w:t>
            </w:r>
            <w:r>
              <w:rPr>
                <w:rFonts w:hint="eastAsia" w:ascii="宋体" w:hAnsi="宋体" w:eastAsia="宋体" w:cs="宋体"/>
                <w:sz w:val="24"/>
                <w:highlight w:val="none"/>
              </w:rPr>
              <w:t>）</w:t>
            </w:r>
          </w:p>
        </w:tc>
        <w:tc>
          <w:tcPr>
            <w:tcW w:w="22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5</w:t>
            </w:r>
          </w:p>
        </w:tc>
        <w:tc>
          <w:tcPr>
            <w:tcW w:w="1762"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备用液压抓斗</w:t>
            </w:r>
          </w:p>
        </w:tc>
        <w:tc>
          <w:tcPr>
            <w:tcW w:w="2757"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12m³</w:t>
            </w:r>
          </w:p>
        </w:tc>
        <w:tc>
          <w:tcPr>
            <w:tcW w:w="18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2台</w:t>
            </w:r>
          </w:p>
        </w:tc>
        <w:tc>
          <w:tcPr>
            <w:tcW w:w="22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6</w:t>
            </w:r>
          </w:p>
        </w:tc>
        <w:tc>
          <w:tcPr>
            <w:tcW w:w="1762" w:type="dxa"/>
            <w:vAlign w:val="center"/>
          </w:tcPr>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液压抓斗</w:t>
            </w:r>
          </w:p>
        </w:tc>
        <w:tc>
          <w:tcPr>
            <w:tcW w:w="2757"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MZGL4000-3，佩纳</w:t>
            </w:r>
          </w:p>
        </w:tc>
        <w:tc>
          <w:tcPr>
            <w:tcW w:w="18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6台</w:t>
            </w:r>
          </w:p>
          <w:p>
            <w:pPr>
              <w:adjustRightInd w:val="0"/>
              <w:snapToGrid w:val="0"/>
              <w:jc w:val="center"/>
              <w:rPr>
                <w:rFonts w:ascii="宋体" w:hAnsi="宋体" w:eastAsia="宋体" w:cs="宋体"/>
                <w:sz w:val="24"/>
                <w:highlight w:val="none"/>
              </w:rPr>
            </w:pPr>
            <w:r>
              <w:rPr>
                <w:rFonts w:hint="eastAsia" w:ascii="宋体" w:hAnsi="宋体" w:eastAsia="宋体" w:cs="宋体"/>
                <w:sz w:val="24"/>
                <w:highlight w:val="none"/>
              </w:rPr>
              <w:t>（</w:t>
            </w:r>
            <w:r>
              <w:rPr>
                <w:rFonts w:ascii="宋体" w:hAnsi="宋体" w:eastAsia="宋体" w:cs="宋体"/>
                <w:sz w:val="24"/>
                <w:highlight w:val="none"/>
              </w:rPr>
              <w:t>4用2备</w:t>
            </w:r>
            <w:r>
              <w:rPr>
                <w:rFonts w:hint="eastAsia" w:ascii="宋体" w:hAnsi="宋体" w:eastAsia="宋体" w:cs="宋体"/>
                <w:sz w:val="24"/>
                <w:highlight w:val="none"/>
              </w:rPr>
              <w:t>）</w:t>
            </w:r>
          </w:p>
        </w:tc>
        <w:tc>
          <w:tcPr>
            <w:tcW w:w="2200" w:type="dxa"/>
            <w:vAlign w:val="center"/>
          </w:tcPr>
          <w:p>
            <w:pPr>
              <w:adjustRightInd w:val="0"/>
              <w:snapToGrid w:val="0"/>
              <w:jc w:val="center"/>
              <w:rPr>
                <w:rFonts w:ascii="宋体" w:hAnsi="宋体" w:eastAsia="宋体" w:cs="宋体"/>
                <w:sz w:val="24"/>
                <w:highlight w:val="none"/>
              </w:rPr>
            </w:pPr>
            <w:r>
              <w:rPr>
                <w:rFonts w:ascii="宋体" w:hAnsi="宋体" w:eastAsia="宋体" w:cs="宋体"/>
                <w:sz w:val="24"/>
                <w:highlight w:val="none"/>
              </w:rPr>
              <w:t>2020年12月</w:t>
            </w:r>
          </w:p>
        </w:tc>
      </w:tr>
    </w:tbl>
    <w:p>
      <w:pPr>
        <w:spacing w:line="360" w:lineRule="auto"/>
        <w:ind w:firstLine="523" w:firstLineChars="217"/>
        <w:rPr>
          <w:rFonts w:ascii="宋体" w:hAnsi="宋体" w:eastAsia="宋体" w:cs="宋体"/>
          <w:b/>
          <w:bCs/>
          <w:sz w:val="24"/>
          <w:highlight w:val="none"/>
        </w:rPr>
      </w:pPr>
      <w:r>
        <w:rPr>
          <w:rFonts w:ascii="宋体" w:hAnsi="宋体" w:eastAsia="宋体" w:cs="宋体"/>
          <w:b/>
          <w:bCs/>
          <w:sz w:val="24"/>
          <w:highlight w:val="none"/>
        </w:rPr>
        <w:t>2.</w:t>
      </w:r>
      <w:r>
        <w:rPr>
          <w:rFonts w:hint="eastAsia" w:ascii="宋体" w:hAnsi="宋体" w:eastAsia="宋体" w:cs="宋体"/>
          <w:b/>
          <w:bCs/>
          <w:sz w:val="24"/>
          <w:highlight w:val="none"/>
        </w:rPr>
        <w:t>三固运行中心</w:t>
      </w:r>
    </w:p>
    <w:tbl>
      <w:tblPr>
        <w:tblStyle w:val="2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425"/>
        <w:gridCol w:w="3469"/>
        <w:gridCol w:w="1619"/>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序号</w:t>
            </w:r>
          </w:p>
        </w:tc>
        <w:tc>
          <w:tcPr>
            <w:tcW w:w="14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设备名称</w:t>
            </w:r>
          </w:p>
        </w:tc>
        <w:tc>
          <w:tcPr>
            <w:tcW w:w="3469"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设备品牌及型号</w:t>
            </w:r>
          </w:p>
        </w:tc>
        <w:tc>
          <w:tcPr>
            <w:tcW w:w="1619"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数量</w:t>
            </w:r>
          </w:p>
        </w:tc>
        <w:tc>
          <w:tcPr>
            <w:tcW w:w="20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投入运行时间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1</w:t>
            </w:r>
          </w:p>
        </w:tc>
        <w:tc>
          <w:tcPr>
            <w:tcW w:w="14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双梁行车</w:t>
            </w:r>
          </w:p>
        </w:tc>
        <w:tc>
          <w:tcPr>
            <w:tcW w:w="346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lang w:eastAsia="en-US"/>
              </w:rPr>
              <w:t>QZLY10t-16.5m A7</w:t>
            </w:r>
            <w:r>
              <w:rPr>
                <w:rFonts w:hint="eastAsia" w:ascii="宋体" w:hAnsi="宋体" w:eastAsia="宋体" w:cs="宋体"/>
                <w:sz w:val="24"/>
                <w:highlight w:val="none"/>
              </w:rPr>
              <w:t>，河南卫华</w:t>
            </w:r>
          </w:p>
        </w:tc>
        <w:tc>
          <w:tcPr>
            <w:tcW w:w="161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1台</w:t>
            </w:r>
          </w:p>
        </w:tc>
        <w:tc>
          <w:tcPr>
            <w:tcW w:w="2025"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2021年</w:t>
            </w:r>
            <w:r>
              <w:rPr>
                <w:rFonts w:hint="eastAsia" w:ascii="宋体" w:hAnsi="宋体" w:eastAsia="宋体" w:cs="宋体"/>
                <w:sz w:val="24"/>
                <w:highlight w:val="none"/>
              </w:rPr>
              <w:t>0</w:t>
            </w:r>
            <w:r>
              <w:rPr>
                <w:rFonts w:ascii="宋体" w:hAnsi="宋体" w:eastAsia="宋体" w:cs="宋体"/>
                <w:sz w:val="24"/>
                <w:highlight w:val="none"/>
              </w:rPr>
              <w:t>4月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w:t>
            </w:r>
          </w:p>
        </w:tc>
        <w:tc>
          <w:tcPr>
            <w:tcW w:w="14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单梁行车</w:t>
            </w:r>
          </w:p>
        </w:tc>
        <w:tc>
          <w:tcPr>
            <w:tcW w:w="346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LD5t-15.5m  A4，河南卫华</w:t>
            </w:r>
          </w:p>
        </w:tc>
        <w:tc>
          <w:tcPr>
            <w:tcW w:w="161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1台</w:t>
            </w:r>
          </w:p>
        </w:tc>
        <w:tc>
          <w:tcPr>
            <w:tcW w:w="2025"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2021年</w:t>
            </w:r>
            <w:r>
              <w:rPr>
                <w:rFonts w:hint="eastAsia" w:ascii="宋体" w:hAnsi="宋体" w:eastAsia="宋体" w:cs="宋体"/>
                <w:sz w:val="24"/>
                <w:highlight w:val="none"/>
              </w:rPr>
              <w:t>0</w:t>
            </w:r>
            <w:r>
              <w:rPr>
                <w:rFonts w:ascii="宋体" w:hAnsi="宋体" w:eastAsia="宋体" w:cs="宋体"/>
                <w:sz w:val="24"/>
                <w:highlight w:val="none"/>
              </w:rPr>
              <w:t>4月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3</w:t>
            </w:r>
          </w:p>
        </w:tc>
        <w:tc>
          <w:tcPr>
            <w:tcW w:w="14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单梁行车</w:t>
            </w:r>
          </w:p>
        </w:tc>
        <w:tc>
          <w:tcPr>
            <w:tcW w:w="346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LD5t-18m  A4，河南卫华</w:t>
            </w:r>
          </w:p>
        </w:tc>
        <w:tc>
          <w:tcPr>
            <w:tcW w:w="161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2台</w:t>
            </w:r>
          </w:p>
        </w:tc>
        <w:tc>
          <w:tcPr>
            <w:tcW w:w="2025"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2022</w:t>
            </w:r>
            <w:r>
              <w:rPr>
                <w:rFonts w:hint="eastAsia" w:ascii="宋体" w:hAnsi="宋体" w:eastAsia="宋体" w:cs="宋体"/>
                <w:sz w:val="24"/>
                <w:highlight w:val="none"/>
              </w:rPr>
              <w:t>年</w:t>
            </w:r>
            <w:r>
              <w:rPr>
                <w:rFonts w:ascii="宋体" w:hAnsi="宋体" w:eastAsia="宋体" w:cs="宋体"/>
                <w:sz w:val="24"/>
                <w:highlight w:val="none"/>
              </w:rPr>
              <w:t>12</w:t>
            </w:r>
            <w:r>
              <w:rPr>
                <w:rFonts w:hint="eastAsia" w:ascii="宋体" w:hAnsi="宋体" w:eastAsia="宋体" w:cs="宋体"/>
                <w:sz w:val="24"/>
                <w:highlight w:val="none"/>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4</w:t>
            </w:r>
          </w:p>
        </w:tc>
        <w:tc>
          <w:tcPr>
            <w:tcW w:w="14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电动葫芦</w:t>
            </w:r>
          </w:p>
        </w:tc>
        <w:tc>
          <w:tcPr>
            <w:tcW w:w="346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1T</w:t>
            </w:r>
            <w:r>
              <w:rPr>
                <w:rFonts w:hint="eastAsia" w:ascii="宋体" w:hAnsi="宋体" w:eastAsia="宋体" w:cs="宋体"/>
                <w:sz w:val="24"/>
                <w:highlight w:val="none"/>
              </w:rPr>
              <w:t>—</w:t>
            </w:r>
            <w:r>
              <w:rPr>
                <w:rFonts w:ascii="宋体" w:hAnsi="宋体" w:eastAsia="宋体" w:cs="宋体"/>
                <w:sz w:val="24"/>
                <w:highlight w:val="none"/>
              </w:rPr>
              <w:t>2T</w:t>
            </w:r>
            <w:r>
              <w:rPr>
                <w:rFonts w:hint="eastAsia" w:ascii="宋体" w:hAnsi="宋体" w:eastAsia="宋体" w:cs="宋体"/>
                <w:sz w:val="24"/>
                <w:highlight w:val="none"/>
              </w:rPr>
              <w:t>，河南卫华</w:t>
            </w:r>
          </w:p>
        </w:tc>
        <w:tc>
          <w:tcPr>
            <w:tcW w:w="161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6台</w:t>
            </w:r>
          </w:p>
        </w:tc>
        <w:tc>
          <w:tcPr>
            <w:tcW w:w="2025"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2021年</w:t>
            </w:r>
            <w:r>
              <w:rPr>
                <w:rFonts w:hint="eastAsia" w:ascii="宋体" w:hAnsi="宋体" w:eastAsia="宋体" w:cs="宋体"/>
                <w:sz w:val="24"/>
                <w:highlight w:val="none"/>
              </w:rPr>
              <w:t>0</w:t>
            </w:r>
            <w:r>
              <w:rPr>
                <w:rFonts w:ascii="宋体" w:hAnsi="宋体" w:eastAsia="宋体" w:cs="宋体"/>
                <w:sz w:val="24"/>
                <w:highlight w:val="none"/>
              </w:rPr>
              <w:t>4月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5</w:t>
            </w:r>
          </w:p>
        </w:tc>
        <w:tc>
          <w:tcPr>
            <w:tcW w:w="1425"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液压抓斗</w:t>
            </w:r>
          </w:p>
        </w:tc>
        <w:tc>
          <w:tcPr>
            <w:tcW w:w="3469"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MMGL2000-4，上海佩纳</w:t>
            </w:r>
          </w:p>
        </w:tc>
        <w:tc>
          <w:tcPr>
            <w:tcW w:w="1619" w:type="dxa"/>
            <w:vAlign w:val="center"/>
          </w:tcPr>
          <w:p>
            <w:pPr>
              <w:spacing w:line="360" w:lineRule="auto"/>
              <w:jc w:val="center"/>
              <w:rPr>
                <w:rFonts w:ascii="宋体" w:hAnsi="宋体" w:eastAsia="宋体" w:cs="宋体"/>
                <w:sz w:val="24"/>
                <w:highlight w:val="none"/>
              </w:rPr>
            </w:pPr>
            <w:r>
              <w:rPr>
                <w:rFonts w:hint="eastAsia" w:ascii="宋体" w:hAnsi="宋体" w:eastAsia="宋体" w:cs="宋体"/>
                <w:sz w:val="24"/>
                <w:highlight w:val="none"/>
              </w:rPr>
              <w:t>2台</w:t>
            </w:r>
          </w:p>
        </w:tc>
        <w:tc>
          <w:tcPr>
            <w:tcW w:w="2025" w:type="dxa"/>
            <w:vAlign w:val="center"/>
          </w:tcPr>
          <w:p>
            <w:pPr>
              <w:spacing w:line="360" w:lineRule="auto"/>
              <w:jc w:val="center"/>
              <w:rPr>
                <w:rFonts w:ascii="宋体" w:hAnsi="宋体" w:eastAsia="宋体" w:cs="宋体"/>
                <w:sz w:val="24"/>
                <w:highlight w:val="none"/>
              </w:rPr>
            </w:pPr>
            <w:r>
              <w:rPr>
                <w:rFonts w:ascii="宋体" w:hAnsi="宋体" w:eastAsia="宋体" w:cs="宋体"/>
                <w:sz w:val="24"/>
                <w:highlight w:val="none"/>
              </w:rPr>
              <w:t>2021年</w:t>
            </w:r>
            <w:r>
              <w:rPr>
                <w:rFonts w:hint="eastAsia" w:ascii="宋体" w:hAnsi="宋体" w:eastAsia="宋体" w:cs="宋体"/>
                <w:sz w:val="24"/>
                <w:highlight w:val="none"/>
              </w:rPr>
              <w:t>0</w:t>
            </w:r>
            <w:r>
              <w:rPr>
                <w:rFonts w:ascii="宋体" w:hAnsi="宋体" w:eastAsia="宋体" w:cs="宋体"/>
                <w:sz w:val="24"/>
                <w:highlight w:val="none"/>
              </w:rPr>
              <w:t>4月</w:t>
            </w:r>
          </w:p>
        </w:tc>
      </w:tr>
    </w:tbl>
    <w:p>
      <w:pPr>
        <w:spacing w:line="360" w:lineRule="auto"/>
        <w:rPr>
          <w:rFonts w:ascii="宋体" w:hAnsi="宋体" w:eastAsia="宋体"/>
          <w:highlight w:val="none"/>
        </w:rPr>
      </w:pPr>
      <w:r>
        <w:rPr>
          <w:rFonts w:hint="eastAsia" w:ascii="宋体" w:hAnsi="宋体" w:eastAsia="宋体" w:cs="宋体"/>
          <w:b/>
          <w:bCs/>
          <w:sz w:val="24"/>
          <w:highlight w:val="none"/>
        </w:rPr>
        <w:t>二、服务期限：</w:t>
      </w:r>
      <w:r>
        <w:rPr>
          <w:rFonts w:hint="eastAsia" w:ascii="宋体" w:hAnsi="宋体" w:eastAsia="宋体" w:cs="宋体"/>
          <w:sz w:val="24"/>
          <w:highlight w:val="none"/>
        </w:rPr>
        <w:t>自合同签订后两年</w:t>
      </w:r>
      <w:r>
        <w:rPr>
          <w:rFonts w:ascii="宋体" w:hAnsi="宋体" w:eastAsia="宋体" w:cs="宋体"/>
          <w:sz w:val="24"/>
          <w:highlight w:val="none"/>
        </w:rPr>
        <w:t>。</w:t>
      </w:r>
    </w:p>
    <w:p>
      <w:pPr>
        <w:spacing w:line="360" w:lineRule="auto"/>
        <w:rPr>
          <w:rFonts w:ascii="宋体" w:hAnsi="宋体" w:eastAsia="宋体" w:cs="宋体"/>
          <w:b/>
          <w:bCs/>
          <w:sz w:val="24"/>
          <w:highlight w:val="none"/>
        </w:rPr>
      </w:pPr>
      <w:bookmarkStart w:id="93" w:name="OLE_LINK4"/>
      <w:r>
        <w:rPr>
          <w:rFonts w:ascii="宋体" w:hAnsi="宋体" w:eastAsia="宋体" w:cs="宋体"/>
          <w:spacing w:val="8"/>
          <w:highlight w:val="none"/>
        </w:rPr>
        <w:t>▲</w:t>
      </w:r>
      <w:bookmarkEnd w:id="93"/>
      <w:r>
        <w:rPr>
          <w:rFonts w:hint="eastAsia" w:ascii="宋体" w:hAnsi="宋体" w:eastAsia="宋体" w:cs="宋体"/>
          <w:b/>
          <w:bCs/>
          <w:sz w:val="24"/>
          <w:highlight w:val="none"/>
        </w:rPr>
        <w:t>三、服务要求</w:t>
      </w:r>
    </w:p>
    <w:p>
      <w:pPr>
        <w:spacing w:line="360" w:lineRule="auto"/>
        <w:rPr>
          <w:rFonts w:ascii="宋体" w:hAnsi="宋体" w:eastAsia="宋体" w:cs="宋体"/>
          <w:sz w:val="24"/>
          <w:highlight w:val="none"/>
        </w:rPr>
      </w:pPr>
      <w:r>
        <w:rPr>
          <w:rFonts w:ascii="宋体" w:hAnsi="宋体" w:eastAsia="宋体" w:cs="宋体"/>
          <w:sz w:val="24"/>
          <w:highlight w:val="none"/>
        </w:rPr>
        <w:t>1.</w:t>
      </w:r>
      <w:r>
        <w:rPr>
          <w:rFonts w:hint="eastAsia" w:ascii="宋体" w:hAnsi="宋体" w:eastAsia="宋体" w:cs="宋体"/>
          <w:sz w:val="24"/>
          <w:highlight w:val="none"/>
        </w:rPr>
        <w:t xml:space="preserve"> 365天*24小时</w:t>
      </w:r>
      <w:r>
        <w:rPr>
          <w:rFonts w:ascii="宋体" w:hAnsi="宋体" w:eastAsia="宋体" w:cs="宋体"/>
          <w:sz w:val="24"/>
          <w:highlight w:val="none"/>
        </w:rPr>
        <w:t>驻厂人数要求：</w:t>
      </w:r>
      <w:r>
        <w:rPr>
          <w:rFonts w:hint="eastAsia" w:ascii="宋体" w:hAnsi="宋体" w:eastAsia="宋体" w:cs="宋体"/>
          <w:sz w:val="24"/>
          <w:highlight w:val="none"/>
        </w:rPr>
        <w:t>365天*24小时驻厂技术服务人员不少于6人（机务3人，仪电3人）</w:t>
      </w:r>
      <w:r>
        <w:rPr>
          <w:rFonts w:ascii="宋体" w:hAnsi="宋体" w:eastAsia="宋体" w:cs="宋体"/>
          <w:sz w:val="24"/>
          <w:highlight w:val="none"/>
        </w:rPr>
        <w:t>；</w:t>
      </w:r>
    </w:p>
    <w:p>
      <w:pPr>
        <w:spacing w:line="360" w:lineRule="auto"/>
        <w:rPr>
          <w:rFonts w:ascii="宋体" w:hAnsi="宋体" w:eastAsia="宋体" w:cs="宋体"/>
          <w:sz w:val="24"/>
          <w:highlight w:val="none"/>
        </w:rPr>
      </w:pPr>
      <w:r>
        <w:rPr>
          <w:rFonts w:hint="eastAsia" w:ascii="宋体" w:hAnsi="宋体" w:eastAsia="宋体" w:cs="宋体"/>
          <w:sz w:val="24"/>
          <w:highlight w:val="none"/>
        </w:rPr>
        <w:t>2. 365天*24小时驻厂人员的能力要求：</w:t>
      </w:r>
    </w:p>
    <w:p>
      <w:pPr>
        <w:spacing w:line="360" w:lineRule="auto"/>
        <w:rPr>
          <w:rFonts w:ascii="宋体" w:hAnsi="宋体" w:eastAsia="宋体" w:cs="宋体"/>
          <w:sz w:val="24"/>
          <w:highlight w:val="none"/>
        </w:rPr>
      </w:pPr>
      <w:r>
        <w:rPr>
          <w:rFonts w:hint="eastAsia" w:ascii="宋体" w:hAnsi="宋体" w:eastAsia="宋体" w:cs="宋体"/>
          <w:sz w:val="24"/>
          <w:highlight w:val="none"/>
        </w:rPr>
        <w:t>（1）负责人（兼）：各项专业技术较全面，协调能力强，能吃苦耐劳，有责任心，能完成各项任务。</w:t>
      </w:r>
    </w:p>
    <w:p>
      <w:pPr>
        <w:spacing w:line="360" w:lineRule="auto"/>
        <w:rPr>
          <w:rFonts w:ascii="宋体" w:hAnsi="宋体" w:eastAsia="宋体" w:cs="宋体"/>
          <w:sz w:val="24"/>
          <w:highlight w:val="none"/>
        </w:rPr>
      </w:pPr>
      <w:r>
        <w:rPr>
          <w:rFonts w:hint="eastAsia" w:ascii="宋体" w:hAnsi="宋体" w:eastAsia="宋体" w:cs="宋体"/>
          <w:sz w:val="24"/>
          <w:highlight w:val="none"/>
        </w:rPr>
        <w:t>（2）机务服务工程师：熟悉设备结构、性能及原理，熟悉系统，能看懂设备结构图、原理图、系统图，精通垃圾焚烧发电厂垃圾吊、渣吊等起重设备的结构及性能，能快速判断问题并处理问题，对设备故障具备独立判断问题和解决问题的能力，能够独立带领和指导处理垃圾吊维护检修工作。</w:t>
      </w:r>
    </w:p>
    <w:p>
      <w:pPr>
        <w:spacing w:line="360" w:lineRule="auto"/>
        <w:rPr>
          <w:rFonts w:ascii="宋体" w:hAnsi="宋体" w:eastAsia="宋体" w:cs="宋体"/>
          <w:sz w:val="24"/>
          <w:highlight w:val="none"/>
        </w:rPr>
      </w:pPr>
      <w:r>
        <w:rPr>
          <w:rFonts w:hint="eastAsia" w:ascii="宋体" w:hAnsi="宋体" w:eastAsia="宋体" w:cs="宋体"/>
          <w:sz w:val="24"/>
          <w:highlight w:val="none"/>
        </w:rPr>
        <w:t>（3）电仪服务工程师：有电气低压电工证，对设备故障具备独立判断问题和解决问题的能力，能够独立带领和指导处理现场的工作。能看懂各种电仪控控制回路、PLC柜控制回路，并能独自查找故障、处理故障；精通垃圾吊、渣吊等起重设备控制原理；对故障排查经验丰富。</w:t>
      </w:r>
    </w:p>
    <w:p>
      <w:pPr>
        <w:spacing w:line="360" w:lineRule="auto"/>
        <w:rPr>
          <w:rFonts w:ascii="宋体" w:hAnsi="宋体" w:eastAsia="宋体" w:cs="宋体"/>
          <w:sz w:val="24"/>
          <w:highlight w:val="none"/>
        </w:rPr>
      </w:pPr>
      <w:r>
        <w:rPr>
          <w:rFonts w:hint="eastAsia" w:ascii="宋体" w:hAnsi="宋体" w:eastAsia="宋体" w:cs="宋体"/>
          <w:sz w:val="24"/>
          <w:highlight w:val="none"/>
        </w:rPr>
        <w:t>（4）</w:t>
      </w:r>
      <w:r>
        <w:rPr>
          <w:rFonts w:ascii="宋体" w:hAnsi="宋体" w:eastAsia="宋体" w:cs="宋体"/>
          <w:sz w:val="24"/>
          <w:highlight w:val="none"/>
        </w:rPr>
        <w:t>驻厂人员的持证要求：</w:t>
      </w:r>
      <w:r>
        <w:rPr>
          <w:rFonts w:hint="eastAsia" w:ascii="宋体" w:hAnsi="宋体" w:eastAsia="宋体" w:cs="宋体"/>
          <w:sz w:val="24"/>
          <w:highlight w:val="none"/>
        </w:rPr>
        <w:t>桥门式起重机操作人员、起重机指挥人员、安全管理人员、金属焊接人员、电气作业人员必须持证上岗</w:t>
      </w:r>
      <w:r>
        <w:rPr>
          <w:rFonts w:ascii="宋体" w:hAnsi="宋体" w:eastAsia="宋体" w:cs="宋体"/>
          <w:sz w:val="24"/>
          <w:highlight w:val="none"/>
        </w:rPr>
        <w:t>。</w:t>
      </w:r>
    </w:p>
    <w:p>
      <w:pPr>
        <w:spacing w:line="360" w:lineRule="auto"/>
        <w:rPr>
          <w:rFonts w:ascii="宋体" w:hAnsi="宋体" w:eastAsia="宋体" w:cs="宋体"/>
          <w:sz w:val="24"/>
          <w:highlight w:val="none"/>
        </w:rPr>
      </w:pPr>
      <w:r>
        <w:rPr>
          <w:rFonts w:hint="eastAsia" w:ascii="宋体" w:hAnsi="宋体" w:eastAsia="宋体" w:cs="宋体"/>
          <w:sz w:val="24"/>
          <w:highlight w:val="none"/>
        </w:rPr>
        <w:t>（5）驻厂人员因任何原因需离开招标人项目现场的，在不影响招标人生产的情况下，须提前派遣同等能力的人员接替其工作，保证总人数在规定范围内，并向招标人提出书面申请，经招标人书面同意后方可离开项目现场（人员短时就医等经招标人书面同意的特殊情况除外）。</w:t>
      </w:r>
    </w:p>
    <w:p>
      <w:pPr>
        <w:spacing w:line="360" w:lineRule="auto"/>
        <w:rPr>
          <w:rFonts w:ascii="宋体" w:hAnsi="宋体" w:eastAsia="宋体" w:cs="宋体"/>
          <w:sz w:val="24"/>
          <w:highlight w:val="none"/>
        </w:rPr>
      </w:pPr>
      <w:r>
        <w:rPr>
          <w:rFonts w:hint="eastAsia" w:ascii="宋体" w:hAnsi="宋体" w:eastAsia="宋体" w:cs="宋体"/>
          <w:sz w:val="24"/>
          <w:highlight w:val="none"/>
        </w:rPr>
        <w:t>（6）乙方维保人员必须是技术过硬、有能力胜任该工作的专业技术人员，具备分班作业的能力，有科尼行车和佩纳抓斗的检修维护经验，当乙方维保人员的检修质量和效率无法满足招标人要求时，招标人有权要求乙方加派人手或更换维保人员；当招标人设备出现多台同时故障时，乙方应在24小时内加派人员处理，不得影响招标人正常生产及备用设备完好率。</w:t>
      </w:r>
    </w:p>
    <w:p>
      <w:pPr>
        <w:spacing w:line="360" w:lineRule="auto"/>
        <w:rPr>
          <w:rFonts w:ascii="宋体" w:hAnsi="宋体" w:eastAsia="宋体" w:cs="宋体"/>
          <w:sz w:val="24"/>
          <w:highlight w:val="none"/>
        </w:rPr>
      </w:pPr>
      <w:r>
        <w:rPr>
          <w:rFonts w:hint="eastAsia" w:ascii="宋体" w:hAnsi="宋体" w:eastAsia="宋体" w:cs="宋体"/>
          <w:sz w:val="24"/>
          <w:highlight w:val="none"/>
        </w:rPr>
        <w:t>3</w:t>
      </w:r>
      <w:r>
        <w:rPr>
          <w:rFonts w:ascii="宋体" w:hAnsi="宋体" w:eastAsia="宋体" w:cs="宋体"/>
          <w:sz w:val="24"/>
          <w:highlight w:val="none"/>
        </w:rPr>
        <w:t>.定期检查维护保养需要做好检修维护技术记录，检修更换备品备件需要招标人确认。</w:t>
      </w:r>
    </w:p>
    <w:p>
      <w:pPr>
        <w:spacing w:line="360" w:lineRule="auto"/>
        <w:rPr>
          <w:rFonts w:ascii="宋体" w:hAnsi="宋体" w:eastAsia="宋体" w:cs="宋体"/>
          <w:b/>
          <w:bCs/>
          <w:sz w:val="24"/>
          <w:highlight w:val="none"/>
        </w:rPr>
      </w:pPr>
      <w:r>
        <w:rPr>
          <w:rFonts w:hint="eastAsia" w:ascii="宋体" w:hAnsi="宋体" w:eastAsia="宋体" w:cs="宋体"/>
          <w:sz w:val="24"/>
          <w:highlight w:val="none"/>
        </w:rPr>
        <w:t>4</w:t>
      </w:r>
      <w:r>
        <w:rPr>
          <w:rFonts w:ascii="宋体" w:hAnsi="宋体" w:eastAsia="宋体" w:cs="宋体"/>
          <w:sz w:val="24"/>
          <w:highlight w:val="none"/>
        </w:rPr>
        <w:t>.应急抢修服务要求：接到通知后十五分钟内到厂抢修，未及时到达工作现场，引起停产的扣除维护费并根据停产情况罚款。</w:t>
      </w:r>
    </w:p>
    <w:p>
      <w:pPr>
        <w:spacing w:line="360" w:lineRule="auto"/>
        <w:rPr>
          <w:rFonts w:ascii="宋体" w:hAnsi="宋体" w:eastAsia="宋体" w:cs="宋体"/>
          <w:sz w:val="24"/>
          <w:highlight w:val="none"/>
        </w:rPr>
      </w:pPr>
      <w:r>
        <w:rPr>
          <w:rFonts w:hint="eastAsia" w:ascii="宋体" w:hAnsi="宋体" w:eastAsia="宋体" w:cs="宋体"/>
          <w:sz w:val="24"/>
          <w:highlight w:val="none"/>
        </w:rPr>
        <w:t>5</w:t>
      </w:r>
      <w:r>
        <w:rPr>
          <w:rFonts w:ascii="宋体" w:hAnsi="宋体" w:eastAsia="宋体" w:cs="宋体"/>
          <w:sz w:val="24"/>
          <w:highlight w:val="none"/>
        </w:rPr>
        <w:t>.</w:t>
      </w:r>
      <w:r>
        <w:rPr>
          <w:rFonts w:hint="eastAsia" w:ascii="宋体" w:hAnsi="宋体" w:eastAsia="宋体" w:cs="宋体"/>
          <w:sz w:val="24"/>
          <w:highlight w:val="none"/>
        </w:rPr>
        <w:t>投标人必须确保能源运行中心和三固运行中心的起重设备及抓斗全年每天</w:t>
      </w:r>
      <w:r>
        <w:rPr>
          <w:rFonts w:ascii="宋体" w:hAnsi="宋体" w:eastAsia="宋体" w:cs="宋体"/>
          <w:sz w:val="24"/>
          <w:highlight w:val="none"/>
        </w:rPr>
        <w:t>24小时安全、有效</w:t>
      </w:r>
      <w:r>
        <w:rPr>
          <w:rFonts w:hint="eastAsia" w:ascii="宋体" w:hAnsi="宋体" w:eastAsia="宋体" w:cs="宋体"/>
          <w:sz w:val="24"/>
          <w:highlight w:val="none"/>
        </w:rPr>
        <w:t>地</w:t>
      </w:r>
      <w:r>
        <w:rPr>
          <w:rFonts w:ascii="宋体" w:hAnsi="宋体" w:eastAsia="宋体" w:cs="宋体"/>
          <w:sz w:val="24"/>
          <w:highlight w:val="none"/>
        </w:rPr>
        <w:t>运行。</w:t>
      </w:r>
    </w:p>
    <w:p>
      <w:pPr>
        <w:spacing w:line="360" w:lineRule="auto"/>
        <w:rPr>
          <w:rFonts w:ascii="宋体" w:hAnsi="宋体" w:eastAsia="宋体"/>
          <w:highlight w:val="none"/>
        </w:rPr>
      </w:pPr>
      <w:bookmarkStart w:id="94" w:name="_Toc6731"/>
      <w:r>
        <w:rPr>
          <w:rFonts w:hint="eastAsia" w:ascii="宋体" w:hAnsi="宋体" w:eastAsia="宋体" w:cs="宋体"/>
          <w:sz w:val="24"/>
          <w:highlight w:val="none"/>
        </w:rPr>
        <w:t>6</w:t>
      </w:r>
      <w:r>
        <w:rPr>
          <w:rFonts w:ascii="宋体" w:hAnsi="宋体" w:eastAsia="宋体" w:cs="宋体"/>
          <w:sz w:val="24"/>
          <w:highlight w:val="none"/>
        </w:rPr>
        <w:t>.全面检查的结果报告提供周期：现场工作全部结束后1个工作周内</w:t>
      </w:r>
      <w:bookmarkEnd w:id="94"/>
      <w:bookmarkStart w:id="95" w:name="_Toc17983"/>
      <w:r>
        <w:rPr>
          <w:rFonts w:hint="eastAsia" w:ascii="宋体" w:hAnsi="宋体" w:eastAsia="宋体" w:cs="宋体"/>
          <w:sz w:val="24"/>
          <w:highlight w:val="none"/>
        </w:rPr>
        <w:t>。报告内容须包含检查结果、状态、现场照片、发现的问题、问题的处理措施、整改建议、备件计划、安全总结、后续需要关注的地方。</w:t>
      </w:r>
      <w:bookmarkEnd w:id="95"/>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四、维保内容</w:t>
      </w:r>
    </w:p>
    <w:p>
      <w:pPr>
        <w:spacing w:line="360" w:lineRule="auto"/>
        <w:rPr>
          <w:rFonts w:ascii="宋体" w:hAnsi="宋体" w:eastAsia="宋体" w:cs="宋体"/>
          <w:sz w:val="24"/>
          <w:highlight w:val="none"/>
        </w:rPr>
      </w:pPr>
      <w:r>
        <w:rPr>
          <w:rFonts w:ascii="宋体" w:hAnsi="宋体" w:eastAsia="宋体" w:cs="宋体"/>
          <w:sz w:val="24"/>
          <w:highlight w:val="none"/>
        </w:rPr>
        <w:t>1.定期（月度、季度、半年度、年度）对起重设备及抓斗进行检查、维护和保养，确保顺利通过政府技术监督部门年度审验工作。</w:t>
      </w:r>
    </w:p>
    <w:p>
      <w:pPr>
        <w:spacing w:line="360" w:lineRule="auto"/>
        <w:rPr>
          <w:rFonts w:ascii="宋体" w:hAnsi="宋体" w:eastAsia="宋体" w:cs="宋体"/>
          <w:sz w:val="24"/>
          <w:highlight w:val="none"/>
        </w:rPr>
      </w:pPr>
      <w:r>
        <w:rPr>
          <w:rFonts w:ascii="宋体" w:hAnsi="宋体" w:eastAsia="宋体" w:cs="宋体"/>
          <w:sz w:val="24"/>
          <w:highlight w:val="none"/>
        </w:rPr>
        <w:t>2.及时对设备故障进行故障性维修。</w:t>
      </w:r>
    </w:p>
    <w:p>
      <w:pPr>
        <w:spacing w:line="360" w:lineRule="auto"/>
        <w:rPr>
          <w:rFonts w:ascii="宋体" w:hAnsi="宋体" w:eastAsia="宋体" w:cs="宋体"/>
          <w:sz w:val="24"/>
          <w:highlight w:val="none"/>
        </w:rPr>
      </w:pPr>
      <w:r>
        <w:rPr>
          <w:rFonts w:ascii="宋体" w:hAnsi="宋体" w:eastAsia="宋体" w:cs="宋体"/>
          <w:sz w:val="24"/>
          <w:highlight w:val="none"/>
        </w:rPr>
        <w:t>3.及时组织人员、设备进行突发故障的抢修。</w:t>
      </w:r>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五、维保耗材及备件</w:t>
      </w:r>
    </w:p>
    <w:p>
      <w:pPr>
        <w:spacing w:line="360" w:lineRule="auto"/>
        <w:ind w:firstLine="480" w:firstLineChars="200"/>
        <w:rPr>
          <w:rFonts w:ascii="宋体" w:hAnsi="宋体" w:eastAsia="宋体" w:cs="宋体"/>
          <w:sz w:val="24"/>
          <w:highlight w:val="none"/>
        </w:rPr>
      </w:pPr>
      <w:r>
        <w:rPr>
          <w:rFonts w:hint="eastAsia" w:ascii="宋体" w:hAnsi="宋体" w:eastAsia="宋体" w:cs="宋体"/>
          <w:sz w:val="24"/>
          <w:highlight w:val="none"/>
        </w:rPr>
        <w:t>维护保养用抹布、工器具及个人防护用品等基本耗材包含在维护保养费用中，由投标人承担，检查项涉及故障元器件由投标人免费维修。起重设备润滑油脂、备件及抓斗备件由招标人提供。备件规格、品种、数量，由投标人在设备运行一个月后，提供备件计划给招标人。</w:t>
      </w:r>
    </w:p>
    <w:p>
      <w:pPr>
        <w:spacing w:line="360" w:lineRule="auto"/>
        <w:ind w:firstLine="480" w:firstLineChars="200"/>
        <w:rPr>
          <w:rFonts w:ascii="宋体" w:hAnsi="宋体" w:eastAsia="宋体" w:cs="宋体"/>
          <w:sz w:val="24"/>
          <w:highlight w:val="none"/>
        </w:rPr>
      </w:pPr>
      <w:r>
        <w:rPr>
          <w:rFonts w:hint="eastAsia" w:ascii="宋体" w:hAnsi="宋体" w:eastAsia="宋体" w:cs="宋体"/>
          <w:sz w:val="24"/>
          <w:highlight w:val="none"/>
        </w:rPr>
        <w:t>维护保养用专用工具、安全防护用品包含在维护保养费用中，由投标人承担，包括但不限于气体检测仪、对讲机、各种千斤顶、手拉葫芦、电动葫芦（拉钢丝绳用）、万用表、安全带、防坠器、手电、防护服、防毒面具、口罩、抹布、敲击扳手、内六角扳手、抓斗电动加油器具等。</w:t>
      </w:r>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六、维护保养要求</w:t>
      </w:r>
    </w:p>
    <w:p>
      <w:pPr>
        <w:spacing w:line="360" w:lineRule="auto"/>
        <w:rPr>
          <w:rFonts w:ascii="宋体" w:hAnsi="宋体" w:eastAsia="宋体" w:cs="宋体"/>
          <w:sz w:val="24"/>
          <w:highlight w:val="none"/>
        </w:rPr>
      </w:pPr>
      <w:r>
        <w:rPr>
          <w:rFonts w:ascii="宋体" w:hAnsi="宋体" w:eastAsia="宋体" w:cs="宋体"/>
          <w:sz w:val="24"/>
          <w:highlight w:val="none"/>
        </w:rPr>
        <w:t>1.起重机、抓斗及设备“四保持”，保持设备外观、保持设备完整、保持设备性能、保持设备自动化水平。设备内外整洁，各转动面、油孔等处无油污，设备周围的杂物、</w:t>
      </w:r>
      <w:r>
        <w:rPr>
          <w:rFonts w:hint="eastAsia" w:ascii="宋体" w:hAnsi="宋体" w:eastAsia="宋体" w:cs="宋体"/>
          <w:sz w:val="24"/>
          <w:highlight w:val="none"/>
        </w:rPr>
        <w:t>脏物清扫干净；</w:t>
      </w:r>
    </w:p>
    <w:p>
      <w:pPr>
        <w:spacing w:line="360" w:lineRule="auto"/>
        <w:rPr>
          <w:rFonts w:ascii="宋体" w:hAnsi="宋体" w:eastAsia="宋体" w:cs="宋体"/>
          <w:sz w:val="24"/>
          <w:highlight w:val="none"/>
        </w:rPr>
      </w:pPr>
      <w:r>
        <w:rPr>
          <w:rFonts w:ascii="宋体" w:hAnsi="宋体" w:eastAsia="宋体" w:cs="宋体"/>
          <w:sz w:val="24"/>
          <w:highlight w:val="none"/>
        </w:rPr>
        <w:t>2.工具、附件、工件放置整齐；</w:t>
      </w:r>
    </w:p>
    <w:p>
      <w:pPr>
        <w:spacing w:line="360" w:lineRule="auto"/>
        <w:rPr>
          <w:rFonts w:ascii="宋体" w:hAnsi="宋体" w:eastAsia="宋体" w:cs="宋体"/>
          <w:sz w:val="24"/>
          <w:highlight w:val="none"/>
        </w:rPr>
      </w:pPr>
      <w:r>
        <w:rPr>
          <w:rFonts w:ascii="宋体" w:hAnsi="宋体" w:eastAsia="宋体" w:cs="宋体"/>
          <w:sz w:val="24"/>
          <w:highlight w:val="none"/>
        </w:rPr>
        <w:t>3.润滑良好，无干磨现象；</w:t>
      </w:r>
    </w:p>
    <w:p>
      <w:pPr>
        <w:spacing w:line="360" w:lineRule="auto"/>
        <w:rPr>
          <w:rFonts w:ascii="宋体" w:hAnsi="宋体" w:eastAsia="宋体" w:cs="宋体"/>
          <w:sz w:val="24"/>
          <w:highlight w:val="none"/>
        </w:rPr>
      </w:pPr>
      <w:r>
        <w:rPr>
          <w:rFonts w:ascii="宋体" w:hAnsi="宋体" w:eastAsia="宋体" w:cs="宋体"/>
          <w:sz w:val="24"/>
          <w:highlight w:val="none"/>
        </w:rPr>
        <w:t>4.遵守安全操作规程；</w:t>
      </w:r>
    </w:p>
    <w:p>
      <w:pPr>
        <w:spacing w:line="360" w:lineRule="auto"/>
        <w:rPr>
          <w:rFonts w:ascii="宋体" w:hAnsi="宋体" w:eastAsia="宋体" w:cs="宋体"/>
          <w:sz w:val="24"/>
          <w:highlight w:val="none"/>
        </w:rPr>
      </w:pPr>
      <w:r>
        <w:rPr>
          <w:rFonts w:ascii="宋体" w:hAnsi="宋体" w:eastAsia="宋体" w:cs="宋体"/>
          <w:sz w:val="24"/>
          <w:highlight w:val="none"/>
        </w:rPr>
        <w:t>5.</w:t>
      </w:r>
      <w:r>
        <w:rPr>
          <w:rFonts w:hint="eastAsia" w:ascii="宋体" w:hAnsi="宋体" w:eastAsia="宋体" w:cs="宋体"/>
          <w:sz w:val="24"/>
          <w:highlight w:val="none"/>
        </w:rPr>
        <w:t>维保完毕后的设备稳定可靠，性能完全符合行车和抓斗等相关行业标准技术、性能要求，满足招标人实际使用工况；</w:t>
      </w:r>
    </w:p>
    <w:p>
      <w:pPr>
        <w:spacing w:line="360" w:lineRule="auto"/>
        <w:rPr>
          <w:rFonts w:ascii="宋体" w:hAnsi="宋体" w:eastAsia="宋体" w:cs="宋体"/>
          <w:sz w:val="24"/>
          <w:highlight w:val="none"/>
        </w:rPr>
      </w:pPr>
      <w:r>
        <w:rPr>
          <w:rFonts w:ascii="宋体" w:hAnsi="宋体" w:eastAsia="宋体" w:cs="宋体"/>
          <w:sz w:val="24"/>
          <w:highlight w:val="none"/>
        </w:rPr>
        <w:t>6.</w:t>
      </w:r>
      <w:r>
        <w:rPr>
          <w:rFonts w:hint="eastAsia" w:ascii="宋体" w:hAnsi="宋体" w:eastAsia="宋体" w:cs="宋体"/>
          <w:sz w:val="24"/>
          <w:highlight w:val="none"/>
        </w:rPr>
        <w:t>投标人驻厂技术维修服务人员</w:t>
      </w:r>
      <w:r>
        <w:rPr>
          <w:rFonts w:ascii="宋体" w:hAnsi="宋体" w:eastAsia="宋体" w:cs="宋体"/>
          <w:sz w:val="24"/>
          <w:highlight w:val="none"/>
        </w:rPr>
        <w:t>必须是技术过硬、有能力胜任该工作的专业技术人员；</w:t>
      </w:r>
    </w:p>
    <w:p>
      <w:pPr>
        <w:spacing w:line="360" w:lineRule="auto"/>
        <w:rPr>
          <w:rFonts w:ascii="宋体" w:hAnsi="宋体" w:eastAsia="宋体" w:cs="宋体"/>
          <w:sz w:val="24"/>
          <w:highlight w:val="none"/>
        </w:rPr>
      </w:pPr>
      <w:r>
        <w:rPr>
          <w:rFonts w:ascii="宋体" w:hAnsi="宋体" w:eastAsia="宋体" w:cs="宋体"/>
          <w:sz w:val="24"/>
          <w:highlight w:val="none"/>
        </w:rPr>
        <w:t>7.若</w:t>
      </w:r>
      <w:r>
        <w:rPr>
          <w:rFonts w:hint="eastAsia" w:ascii="宋体" w:hAnsi="宋体" w:eastAsia="宋体" w:cs="宋体"/>
          <w:sz w:val="24"/>
          <w:highlight w:val="none"/>
        </w:rPr>
        <w:t>维保过程中由于投标人驻厂技术维修服务人员操作不当造成的设备故障或损坏，由投标人负责免费维修，并且招标人有权向投标人追究相关责任；若行车及抓斗设备因维保而发生故障的，由投标人负责免费维修，产生的相应费用由投标人承担，招标人并有权追究因此造成的损失；</w:t>
      </w:r>
    </w:p>
    <w:p>
      <w:pPr>
        <w:spacing w:line="360" w:lineRule="auto"/>
        <w:rPr>
          <w:rFonts w:ascii="宋体" w:hAnsi="宋体" w:eastAsia="宋体" w:cs="宋体"/>
          <w:sz w:val="24"/>
          <w:highlight w:val="none"/>
        </w:rPr>
      </w:pPr>
      <w:r>
        <w:rPr>
          <w:rFonts w:ascii="宋体" w:hAnsi="宋体" w:eastAsia="宋体" w:cs="宋体"/>
          <w:sz w:val="24"/>
          <w:highlight w:val="none"/>
        </w:rPr>
        <w:t>8.</w:t>
      </w:r>
      <w:r>
        <w:rPr>
          <w:rFonts w:hint="eastAsia" w:ascii="宋体" w:hAnsi="宋体" w:eastAsia="宋体" w:cs="宋体"/>
          <w:sz w:val="24"/>
          <w:highlight w:val="none"/>
        </w:rPr>
        <w:t>投标人所更换的材料必须为全新的、未使用过的正品，并且完全满足项目对材料或设备在质量、规格、性能方面要求。</w:t>
      </w:r>
    </w:p>
    <w:p>
      <w:pPr>
        <w:spacing w:line="360" w:lineRule="auto"/>
        <w:rPr>
          <w:rFonts w:ascii="宋体" w:hAnsi="宋体" w:eastAsia="宋体" w:cs="宋体"/>
          <w:sz w:val="24"/>
          <w:highlight w:val="none"/>
        </w:rPr>
      </w:pPr>
      <w:r>
        <w:rPr>
          <w:rFonts w:hint="eastAsia" w:ascii="宋体" w:hAnsi="宋体" w:eastAsia="宋体" w:cs="宋体"/>
          <w:sz w:val="24"/>
          <w:highlight w:val="none"/>
        </w:rPr>
        <w:t>9.确保垃圾吊、渣吊能随时正常工作，及时完成应急维修。</w:t>
      </w:r>
    </w:p>
    <w:p>
      <w:pPr>
        <w:spacing w:line="360" w:lineRule="auto"/>
        <w:rPr>
          <w:rFonts w:ascii="宋体" w:hAnsi="宋体" w:eastAsia="宋体" w:cs="宋体"/>
          <w:sz w:val="24"/>
          <w:highlight w:val="none"/>
        </w:rPr>
      </w:pPr>
      <w:r>
        <w:rPr>
          <w:rFonts w:hint="eastAsia" w:ascii="宋体" w:hAnsi="宋体" w:eastAsia="宋体" w:cs="宋体"/>
          <w:sz w:val="24"/>
          <w:highlight w:val="none"/>
        </w:rPr>
        <w:t>10.起重机、抓斗及检修维护单位定期对招标人的起重机进行维护、保养，并确保顺利通过政府技术监督部门年度审验工作。</w:t>
      </w:r>
    </w:p>
    <w:p>
      <w:pPr>
        <w:spacing w:line="360" w:lineRule="auto"/>
        <w:rPr>
          <w:rFonts w:ascii="宋体" w:hAnsi="宋体" w:eastAsia="宋体" w:cs="宋体"/>
          <w:sz w:val="24"/>
          <w:highlight w:val="none"/>
        </w:rPr>
      </w:pPr>
      <w:r>
        <w:rPr>
          <w:rFonts w:hint="eastAsia" w:ascii="宋体" w:hAnsi="宋体" w:eastAsia="宋体" w:cs="宋体"/>
          <w:sz w:val="24"/>
          <w:highlight w:val="none"/>
        </w:rPr>
        <w:t>11.起重机、抓斗及检修维护单位安排的驻厂技术维修服务人员具备处理现场缺陷能力，持证上岗；遇到紧急缺陷投标人需另外组织符合要求的人员赶到现场抢修。</w:t>
      </w:r>
    </w:p>
    <w:p>
      <w:pPr>
        <w:spacing w:line="360" w:lineRule="auto"/>
        <w:rPr>
          <w:rFonts w:ascii="宋体" w:hAnsi="宋体" w:eastAsia="宋体" w:cs="宋体"/>
          <w:sz w:val="24"/>
          <w:highlight w:val="none"/>
        </w:rPr>
      </w:pPr>
      <w:r>
        <w:rPr>
          <w:rFonts w:hint="eastAsia" w:ascii="宋体" w:hAnsi="宋体" w:eastAsia="宋体" w:cs="宋体"/>
          <w:sz w:val="24"/>
          <w:highlight w:val="none"/>
        </w:rPr>
        <w:t>12.投标人驻厂技术维修服务人员进入现场进行维护保养，同一作业面必须保证最少两人，禁止单人进行作业，所有作业保证有监护人员。</w:t>
      </w:r>
    </w:p>
    <w:p>
      <w:pPr>
        <w:spacing w:line="360" w:lineRule="auto"/>
        <w:rPr>
          <w:rFonts w:ascii="宋体" w:hAnsi="宋体" w:eastAsia="宋体" w:cs="宋体"/>
          <w:sz w:val="24"/>
          <w:highlight w:val="none"/>
        </w:rPr>
      </w:pPr>
      <w:r>
        <w:rPr>
          <w:rFonts w:hint="eastAsia" w:ascii="宋体" w:hAnsi="宋体" w:eastAsia="宋体" w:cs="宋体"/>
          <w:sz w:val="24"/>
          <w:highlight w:val="none"/>
        </w:rPr>
        <w:t>13.做好设备检修、消缺、微改精提（单个技改项目人工和机械设备总费用不超过2万，如：新增/更换垃圾仓内设备降温用的压缩空气管；定期更换空气开关，接线箱内线头；对不符合图纸的接线进行重新整理等）。</w:t>
      </w:r>
    </w:p>
    <w:p>
      <w:pPr>
        <w:spacing w:line="360" w:lineRule="auto"/>
        <w:rPr>
          <w:rFonts w:ascii="宋体" w:hAnsi="宋体" w:eastAsia="宋体" w:cs="宋体"/>
          <w:sz w:val="24"/>
          <w:highlight w:val="none"/>
        </w:rPr>
      </w:pPr>
      <w:r>
        <w:rPr>
          <w:rFonts w:hint="eastAsia" w:ascii="宋体" w:hAnsi="宋体" w:eastAsia="宋体" w:cs="宋体"/>
          <w:sz w:val="24"/>
          <w:highlight w:val="none"/>
        </w:rPr>
        <w:t>14.应急抢修服务要求：根据各项目应急抢修时间到厂抢修，未及时到达工作现场，引起停产的扣除维护费并根据停产情况罚款。投标人在接到招标人电话通知，应及时到达检修现场（白天不超过15分钟，夜晚不超过20分钟）。</w:t>
      </w:r>
    </w:p>
    <w:p>
      <w:pPr>
        <w:spacing w:line="360" w:lineRule="auto"/>
        <w:rPr>
          <w:rFonts w:ascii="宋体" w:hAnsi="宋体" w:eastAsia="宋体" w:cs="宋体"/>
          <w:sz w:val="24"/>
          <w:highlight w:val="none"/>
        </w:rPr>
      </w:pPr>
      <w:r>
        <w:rPr>
          <w:rFonts w:hint="eastAsia" w:ascii="宋体" w:hAnsi="宋体" w:eastAsia="宋体" w:cs="宋体"/>
          <w:sz w:val="24"/>
          <w:highlight w:val="none"/>
        </w:rPr>
        <w:t>15.缺陷消除要求</w:t>
      </w:r>
    </w:p>
    <w:p>
      <w:pPr>
        <w:spacing w:line="360" w:lineRule="auto"/>
        <w:rPr>
          <w:rFonts w:ascii="宋体" w:hAnsi="宋体" w:eastAsia="宋体" w:cs="宋体"/>
          <w:sz w:val="24"/>
          <w:highlight w:val="none"/>
        </w:rPr>
      </w:pPr>
      <w:r>
        <w:rPr>
          <w:rFonts w:hint="eastAsia" w:ascii="宋体" w:hAnsi="宋体" w:eastAsia="宋体" w:cs="宋体"/>
          <w:sz w:val="24"/>
          <w:highlight w:val="none"/>
        </w:rPr>
        <w:t>（1）电气一类缺陷（垃圾吊故障影响垃圾吊正常运行或是影响锅炉上料的缺陷，包括但不限于：安全模块故障、通讯中断等）投标人应在8小时内消除；</w:t>
      </w:r>
    </w:p>
    <w:p>
      <w:pPr>
        <w:spacing w:line="360" w:lineRule="auto"/>
        <w:rPr>
          <w:rFonts w:ascii="宋体" w:hAnsi="宋体" w:eastAsia="宋体" w:cs="宋体"/>
          <w:sz w:val="24"/>
          <w:highlight w:val="none"/>
        </w:rPr>
      </w:pPr>
      <w:r>
        <w:rPr>
          <w:rFonts w:hint="eastAsia" w:ascii="宋体" w:hAnsi="宋体" w:eastAsia="宋体" w:cs="宋体"/>
          <w:sz w:val="24"/>
          <w:highlight w:val="none"/>
        </w:rPr>
        <w:t>（2）电气二类缺陷（垃圾吊故障可以短期带病运行且不影响锅炉上料的缺陷）投标人应在24小时内消除；</w:t>
      </w:r>
    </w:p>
    <w:p>
      <w:pPr>
        <w:spacing w:line="360" w:lineRule="auto"/>
        <w:rPr>
          <w:rFonts w:ascii="宋体" w:hAnsi="宋体" w:eastAsia="宋体" w:cs="宋体"/>
          <w:sz w:val="24"/>
          <w:highlight w:val="none"/>
        </w:rPr>
      </w:pPr>
      <w:r>
        <w:rPr>
          <w:rFonts w:hint="eastAsia" w:ascii="宋体" w:hAnsi="宋体" w:eastAsia="宋体" w:cs="宋体"/>
          <w:sz w:val="24"/>
          <w:highlight w:val="none"/>
        </w:rPr>
        <w:t>（3）电气三类缺陷（其他常规缺陷）投标人应在48小时内消除；暂时无法消除的缺陷，必须征得招标人确认同意，可以进行延期处理。</w:t>
      </w:r>
    </w:p>
    <w:p>
      <w:pPr>
        <w:spacing w:line="360" w:lineRule="auto"/>
        <w:rPr>
          <w:rFonts w:ascii="宋体" w:hAnsi="宋体" w:eastAsia="宋体" w:cs="宋体"/>
          <w:sz w:val="24"/>
          <w:highlight w:val="none"/>
        </w:rPr>
      </w:pPr>
      <w:r>
        <w:rPr>
          <w:rFonts w:hint="eastAsia" w:ascii="宋体" w:hAnsi="宋体" w:eastAsia="宋体" w:cs="宋体"/>
          <w:sz w:val="24"/>
          <w:highlight w:val="none"/>
        </w:rPr>
        <w:t>（4）常规缺陷如：抓斗油缸损坏，投标人应在2小时内完成检修更换工作；抓斗钢丝绳断裂，投标人应在6小时内完成检修更换工作；垃圾吊行车车轮更换、小车车轮更换，投标人应在24小时内完成。</w:t>
      </w:r>
    </w:p>
    <w:p>
      <w:pPr>
        <w:spacing w:line="360" w:lineRule="auto"/>
        <w:rPr>
          <w:rFonts w:ascii="宋体" w:hAnsi="宋体" w:eastAsia="宋体" w:cs="宋体"/>
          <w:b/>
          <w:bCs/>
          <w:sz w:val="24"/>
          <w:highlight w:val="none"/>
        </w:rPr>
      </w:pPr>
      <w:r>
        <w:rPr>
          <w:rFonts w:ascii="宋体" w:hAnsi="宋体" w:eastAsia="宋体" w:cs="宋体"/>
          <w:spacing w:val="8"/>
          <w:highlight w:val="none"/>
        </w:rPr>
        <w:t>▲</w:t>
      </w:r>
      <w:r>
        <w:rPr>
          <w:rFonts w:hint="eastAsia" w:ascii="宋体" w:hAnsi="宋体" w:eastAsia="宋体" w:cs="宋体"/>
          <w:b/>
          <w:bCs/>
          <w:sz w:val="24"/>
          <w:highlight w:val="none"/>
        </w:rPr>
        <w:t>七、付款结算</w:t>
      </w:r>
    </w:p>
    <w:p>
      <w:pPr>
        <w:spacing w:line="360" w:lineRule="auto"/>
        <w:ind w:firstLine="480" w:firstLineChars="200"/>
        <w:rPr>
          <w:rFonts w:ascii="宋体" w:hAnsi="宋体" w:eastAsia="宋体" w:cs="宋体"/>
          <w:sz w:val="24"/>
          <w:highlight w:val="none"/>
        </w:rPr>
      </w:pPr>
      <w:r>
        <w:rPr>
          <w:rFonts w:hint="eastAsia" w:ascii="宋体" w:hAnsi="宋体" w:eastAsia="宋体" w:cs="宋体"/>
          <w:sz w:val="24"/>
          <w:highlight w:val="none"/>
        </w:rPr>
        <w:t>本月费用次月结算，投标人提供经双方确认的服务清单及增值税专用发票，招标人自收到准确清单和发票后，</w:t>
      </w:r>
      <w:r>
        <w:rPr>
          <w:rFonts w:ascii="宋体" w:hAnsi="宋体" w:eastAsia="宋体" w:cs="宋体"/>
          <w:sz w:val="24"/>
          <w:highlight w:val="none"/>
        </w:rPr>
        <w:t>30日内完成费用支付。</w:t>
      </w:r>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八、安全文明作业</w:t>
      </w:r>
    </w:p>
    <w:p>
      <w:pPr>
        <w:spacing w:line="360" w:lineRule="auto"/>
        <w:rPr>
          <w:rFonts w:ascii="宋体" w:hAnsi="宋体" w:eastAsia="宋体" w:cs="宋体"/>
          <w:sz w:val="24"/>
          <w:highlight w:val="none"/>
        </w:rPr>
      </w:pPr>
      <w:r>
        <w:rPr>
          <w:rFonts w:hint="eastAsia" w:ascii="宋体" w:hAnsi="宋体" w:eastAsia="宋体" w:cs="宋体"/>
          <w:sz w:val="24"/>
          <w:highlight w:val="none"/>
        </w:rPr>
        <w:t>1.安全文明施工应遵守国家、行业、地方法律法规，满足招标人项目公司的管理制度要求，安全文明施工所需的相关措施、设施、材料、人员、消防器材等均由投标人负责。</w:t>
      </w:r>
    </w:p>
    <w:p>
      <w:pPr>
        <w:spacing w:line="360" w:lineRule="auto"/>
        <w:rPr>
          <w:rFonts w:ascii="宋体" w:hAnsi="宋体" w:eastAsia="宋体" w:cs="宋体"/>
          <w:sz w:val="24"/>
          <w:highlight w:val="none"/>
        </w:rPr>
      </w:pPr>
      <w:r>
        <w:rPr>
          <w:rFonts w:hint="eastAsia" w:ascii="宋体" w:hAnsi="宋体" w:eastAsia="宋体" w:cs="宋体"/>
          <w:sz w:val="24"/>
          <w:highlight w:val="none"/>
        </w:rPr>
        <w:t>2.遵守招标人项目公司现场安全规章制度，不得违章作业，出现任何人员安全事故由投标人自行承担。</w:t>
      </w:r>
    </w:p>
    <w:p>
      <w:pPr>
        <w:spacing w:line="360" w:lineRule="auto"/>
        <w:rPr>
          <w:rFonts w:ascii="宋体" w:hAnsi="宋体" w:eastAsia="宋体" w:cs="宋体"/>
          <w:sz w:val="24"/>
          <w:highlight w:val="none"/>
        </w:rPr>
      </w:pPr>
      <w:r>
        <w:rPr>
          <w:rFonts w:hint="eastAsia" w:ascii="宋体" w:hAnsi="宋体" w:eastAsia="宋体" w:cs="宋体"/>
          <w:sz w:val="24"/>
          <w:highlight w:val="none"/>
        </w:rPr>
        <w:t>3.投标人在服务期间自备维修安装设备专用工具和服务人员的所有劳防用品。</w:t>
      </w:r>
    </w:p>
    <w:p>
      <w:pPr>
        <w:spacing w:line="360" w:lineRule="auto"/>
        <w:rPr>
          <w:rFonts w:ascii="宋体" w:hAnsi="宋体" w:eastAsia="宋体" w:cs="宋体"/>
          <w:sz w:val="24"/>
          <w:highlight w:val="none"/>
        </w:rPr>
      </w:pPr>
      <w:r>
        <w:rPr>
          <w:rFonts w:hint="eastAsia" w:ascii="宋体" w:hAnsi="宋体" w:eastAsia="宋体" w:cs="宋体"/>
          <w:sz w:val="24"/>
          <w:highlight w:val="none"/>
        </w:rPr>
        <w:t>4.在服务中如无备件，需要投标人提供紧急备件予以支援，相关费用由项目公司承担。</w:t>
      </w:r>
    </w:p>
    <w:p>
      <w:pPr>
        <w:spacing w:line="360" w:lineRule="auto"/>
        <w:rPr>
          <w:rFonts w:ascii="宋体" w:hAnsi="宋体" w:eastAsia="宋体" w:cs="宋体"/>
          <w:sz w:val="24"/>
          <w:highlight w:val="none"/>
        </w:rPr>
      </w:pPr>
      <w:r>
        <w:rPr>
          <w:rFonts w:hint="eastAsia" w:ascii="宋体" w:hAnsi="宋体" w:eastAsia="宋体" w:cs="宋体"/>
          <w:sz w:val="24"/>
          <w:highlight w:val="none"/>
        </w:rPr>
        <w:t>5.投标人在检修施工中应负责对招标人项目公司生产场地的保护，与检修区域无关进行必要隔离，若造成损坏应负责修复或赔偿。对检修区域必须做到工完料尽场地清，检修中更换下来的废旧物资应按时堆放至项目公司指定的相应地点。</w:t>
      </w:r>
    </w:p>
    <w:p>
      <w:pPr>
        <w:spacing w:line="360" w:lineRule="auto"/>
        <w:rPr>
          <w:rFonts w:ascii="宋体" w:hAnsi="宋体" w:eastAsia="宋体" w:cs="宋体"/>
          <w:sz w:val="24"/>
          <w:highlight w:val="none"/>
        </w:rPr>
      </w:pPr>
      <w:r>
        <w:rPr>
          <w:rFonts w:hint="eastAsia" w:ascii="宋体" w:hAnsi="宋体" w:eastAsia="宋体" w:cs="宋体"/>
          <w:sz w:val="24"/>
          <w:highlight w:val="none"/>
        </w:rPr>
        <w:t>6.全面检查的结果报告提供周期：现场工作全部结束后1个工作周内。</w:t>
      </w:r>
    </w:p>
    <w:p>
      <w:pPr>
        <w:spacing w:line="360" w:lineRule="auto"/>
        <w:rPr>
          <w:rFonts w:ascii="宋体" w:hAnsi="宋体" w:eastAsia="宋体" w:cs="宋体"/>
          <w:sz w:val="24"/>
          <w:highlight w:val="none"/>
        </w:rPr>
      </w:pPr>
      <w:r>
        <w:rPr>
          <w:rFonts w:hint="eastAsia" w:ascii="宋体" w:hAnsi="宋体" w:eastAsia="宋体" w:cs="宋体"/>
          <w:sz w:val="24"/>
          <w:highlight w:val="none"/>
        </w:rPr>
        <w:t>7.报告内容：检查结果、状态、现场照片、发现的问题、问题的处理措施、整改建议、备件计划、安全总结、后续需要关注的地方。</w:t>
      </w:r>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九、其他</w:t>
      </w:r>
    </w:p>
    <w:p>
      <w:pPr>
        <w:spacing w:line="360" w:lineRule="auto"/>
        <w:rPr>
          <w:rFonts w:ascii="宋体" w:hAnsi="宋体" w:eastAsia="宋体" w:cs="宋体"/>
          <w:sz w:val="24"/>
          <w:highlight w:val="none"/>
        </w:rPr>
      </w:pPr>
      <w:r>
        <w:rPr>
          <w:rFonts w:ascii="宋体" w:hAnsi="宋体" w:eastAsia="宋体" w:cs="宋体"/>
          <w:sz w:val="24"/>
          <w:highlight w:val="none"/>
        </w:rPr>
        <w:t>1.针对维护范围内项目，由于维修方技术力量不足而不能胜任的，招标人有权委托有资质的人员</w:t>
      </w:r>
      <w:r>
        <w:rPr>
          <w:rFonts w:hint="eastAsia" w:ascii="宋体" w:hAnsi="宋体" w:eastAsia="宋体" w:cs="宋体"/>
          <w:sz w:val="24"/>
          <w:highlight w:val="none"/>
        </w:rPr>
        <w:t>实施</w:t>
      </w:r>
      <w:r>
        <w:rPr>
          <w:rFonts w:ascii="宋体" w:hAnsi="宋体" w:eastAsia="宋体" w:cs="宋体"/>
          <w:sz w:val="24"/>
          <w:highlight w:val="none"/>
        </w:rPr>
        <w:t>，发生的费用</w:t>
      </w:r>
      <w:r>
        <w:rPr>
          <w:rFonts w:hint="eastAsia" w:ascii="宋体" w:hAnsi="宋体" w:eastAsia="宋体" w:cs="宋体"/>
          <w:sz w:val="24"/>
          <w:highlight w:val="none"/>
        </w:rPr>
        <w:t>由投标人承担，招标人有权将该部分费用从应付服务费中扣除。</w:t>
      </w:r>
      <w:bookmarkStart w:id="96" w:name="_Toc18615"/>
      <w:bookmarkStart w:id="97" w:name="_Toc27161"/>
      <w:bookmarkStart w:id="98" w:name="_Toc6813"/>
      <w:bookmarkStart w:id="99" w:name="_Toc23233"/>
    </w:p>
    <w:p>
      <w:pPr>
        <w:spacing w:line="360" w:lineRule="auto"/>
        <w:rPr>
          <w:rFonts w:ascii="宋体" w:hAnsi="宋体" w:eastAsia="宋体" w:cs="宋体"/>
          <w:sz w:val="24"/>
          <w:highlight w:val="none"/>
        </w:rPr>
      </w:pPr>
      <w:r>
        <w:rPr>
          <w:rFonts w:ascii="宋体" w:hAnsi="宋体" w:eastAsia="宋体" w:cs="宋体"/>
          <w:sz w:val="24"/>
          <w:highlight w:val="none"/>
        </w:rPr>
        <w:t>2.</w:t>
      </w:r>
      <w:r>
        <w:rPr>
          <w:rFonts w:hint="eastAsia" w:ascii="宋体" w:hAnsi="宋体" w:eastAsia="宋体" w:cs="宋体"/>
          <w:sz w:val="24"/>
          <w:highlight w:val="none"/>
        </w:rPr>
        <w:t>在维保服务或紧急维修中如无备件，需要投标人提供紧急备件予以支援，相关费用由招标人承担。</w:t>
      </w:r>
      <w:bookmarkEnd w:id="96"/>
      <w:bookmarkEnd w:id="97"/>
      <w:bookmarkStart w:id="100" w:name="_Toc30367"/>
      <w:bookmarkStart w:id="101" w:name="_Toc24184"/>
    </w:p>
    <w:p>
      <w:pPr>
        <w:spacing w:line="360" w:lineRule="auto"/>
        <w:rPr>
          <w:rFonts w:ascii="宋体" w:hAnsi="宋体" w:eastAsia="宋体" w:cs="宋体"/>
          <w:sz w:val="24"/>
          <w:highlight w:val="none"/>
        </w:rPr>
      </w:pPr>
      <w:r>
        <w:rPr>
          <w:rFonts w:ascii="宋体" w:hAnsi="宋体" w:eastAsia="宋体" w:cs="宋体"/>
          <w:sz w:val="24"/>
          <w:highlight w:val="none"/>
        </w:rPr>
        <w:t>3.</w:t>
      </w:r>
      <w:r>
        <w:rPr>
          <w:rFonts w:hint="eastAsia" w:ascii="宋体" w:hAnsi="宋体" w:eastAsia="宋体" w:cs="宋体"/>
          <w:sz w:val="24"/>
          <w:highlight w:val="none"/>
        </w:rPr>
        <w:t>投标人在检修施工中应负责对招标人生产场地的保护，与检修无关区域进行必要隔离，若造成损坏应负责修复或赔偿。对检修区域必须做到工完料尽场地清，检修中更换下来的废旧物资应按时堆放至招标人指定的相应地点。</w:t>
      </w:r>
      <w:bookmarkEnd w:id="100"/>
      <w:bookmarkEnd w:id="101"/>
    </w:p>
    <w:p>
      <w:pPr>
        <w:spacing w:line="360" w:lineRule="auto"/>
        <w:rPr>
          <w:rFonts w:ascii="宋体" w:hAnsi="宋体" w:eastAsia="宋体" w:cs="宋体"/>
          <w:sz w:val="24"/>
          <w:highlight w:val="none"/>
        </w:rPr>
      </w:pPr>
      <w:r>
        <w:rPr>
          <w:rFonts w:hint="eastAsia" w:ascii="宋体" w:hAnsi="宋体" w:eastAsia="宋体" w:cs="宋体"/>
          <w:sz w:val="24"/>
          <w:highlight w:val="none"/>
        </w:rPr>
        <w:t>4.投标人的人员食宿自理，招标人免费提供办公地点。</w:t>
      </w:r>
      <w:bookmarkEnd w:id="98"/>
      <w:bookmarkEnd w:id="99"/>
      <w:r>
        <w:rPr>
          <w:rFonts w:hint="eastAsia" w:ascii="宋体" w:hAnsi="宋体" w:eastAsia="宋体" w:cs="宋体"/>
          <w:sz w:val="24"/>
          <w:highlight w:val="none"/>
        </w:rPr>
        <w:t>若投标人需要招标人提供食宿的，则按招标人管理要求执行。</w:t>
      </w:r>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十、保密服务要求</w:t>
      </w:r>
    </w:p>
    <w:p>
      <w:pPr>
        <w:spacing w:line="360" w:lineRule="auto"/>
        <w:ind w:firstLine="480" w:firstLineChars="200"/>
        <w:rPr>
          <w:rFonts w:ascii="宋体" w:hAnsi="宋体" w:eastAsia="宋体" w:cs="宋体"/>
          <w:sz w:val="24"/>
          <w:highlight w:val="none"/>
        </w:rPr>
      </w:pPr>
      <w:r>
        <w:rPr>
          <w:rFonts w:hint="eastAsia" w:ascii="宋体" w:hAnsi="宋体" w:eastAsia="宋体" w:cs="宋体"/>
          <w:sz w:val="24"/>
          <w:highlight w:val="none"/>
        </w:rPr>
        <w:t>投标人对招标人提供的所有业务技术资料、文档，有责任对第三方保密；中标人在供货过程中涉及第三方产品（中标人提供的），若出现技术、经济或法律上的纠纷，应由中标人全面承担并解决，确保不影响项目的进度。投标人应严格遵守招标人关于保密方面的规定，自觉保守招标人的商业秘密。招标人为方便项目实施所提供给投标人的工作流程、管理模式、规程、程序等相关文档资料、文档、数据均属于招标人所有。未经招标人授权同意，投标人不得另作他用。因投标人原因导致上述资料、文档、数据或招标人商业秘密泄露的，招标人有权要求投标人采取措施消除影响并赔偿招标人损失。</w:t>
      </w:r>
    </w:p>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十一、定期维保内容清单</w:t>
      </w:r>
    </w:p>
    <w:p>
      <w:pPr>
        <w:adjustRightInd w:val="0"/>
        <w:snapToGrid w:val="0"/>
        <w:ind w:left="241" w:hanging="241" w:hangingChars="100"/>
        <w:jc w:val="left"/>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能源运行中心</w:t>
      </w:r>
    </w:p>
    <w:p>
      <w:pPr>
        <w:adjustRightInd w:val="0"/>
        <w:snapToGrid w:val="0"/>
        <w:ind w:left="241" w:hanging="241" w:hangingChars="100"/>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表1 维护保养周期</w:t>
      </w:r>
    </w:p>
    <w:tbl>
      <w:tblPr>
        <w:tblStyle w:val="2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701"/>
        <w:gridCol w:w="1276"/>
        <w:gridCol w:w="1985"/>
        <w:gridCol w:w="708"/>
        <w:gridCol w:w="7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1701"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名称</w:t>
            </w:r>
          </w:p>
        </w:tc>
        <w:tc>
          <w:tcPr>
            <w:tcW w:w="1276"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品牌/厂家</w:t>
            </w:r>
          </w:p>
        </w:tc>
        <w:tc>
          <w:tcPr>
            <w:tcW w:w="198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型号</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单位</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数量</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701"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垃圾吊行车（6台）</w:t>
            </w:r>
          </w:p>
        </w:tc>
        <w:tc>
          <w:tcPr>
            <w:tcW w:w="1276"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科尼</w:t>
            </w:r>
          </w:p>
        </w:tc>
        <w:tc>
          <w:tcPr>
            <w:tcW w:w="1985"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20t—38.7m  A8</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106</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每周2次日常维护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1701" w:type="dxa"/>
            <w:vMerge w:val="continue"/>
            <w:noWrap/>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noWrap/>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月度维护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季度维护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半年度维护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不限</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故障性检修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1701"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渣吊行车（4台）</w:t>
            </w:r>
          </w:p>
        </w:tc>
        <w:tc>
          <w:tcPr>
            <w:tcW w:w="1276"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北起</w:t>
            </w:r>
          </w:p>
        </w:tc>
        <w:tc>
          <w:tcPr>
            <w:tcW w:w="1985"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QZZY10t-4.8m  A8</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月度维护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季度维护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半年度维护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不限</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故障性检修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1701"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汽机吊行车（1台）</w:t>
            </w:r>
          </w:p>
        </w:tc>
        <w:tc>
          <w:tcPr>
            <w:tcW w:w="1276"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北起</w:t>
            </w:r>
          </w:p>
        </w:tc>
        <w:tc>
          <w:tcPr>
            <w:tcW w:w="1985"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QD50/10t—45m A5</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季度维护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13</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半年度维护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14</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15</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不限</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故障性检修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16</w:t>
            </w:r>
          </w:p>
        </w:tc>
        <w:tc>
          <w:tcPr>
            <w:tcW w:w="1701"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液压抓斗（8台，6用2备）</w:t>
            </w:r>
          </w:p>
        </w:tc>
        <w:tc>
          <w:tcPr>
            <w:tcW w:w="1276"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佩纳</w:t>
            </w:r>
          </w:p>
        </w:tc>
        <w:tc>
          <w:tcPr>
            <w:tcW w:w="1985"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MMGL12000-4</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106</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每周2次日常维护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17</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月度维护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18</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季度维护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19</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半年度维护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20</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21</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不限</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故障性检修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22</w:t>
            </w:r>
          </w:p>
        </w:tc>
        <w:tc>
          <w:tcPr>
            <w:tcW w:w="1701"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备用液压抓斗（2台）</w:t>
            </w:r>
          </w:p>
        </w:tc>
        <w:tc>
          <w:tcPr>
            <w:tcW w:w="1276"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上海佩纳</w:t>
            </w:r>
          </w:p>
        </w:tc>
        <w:tc>
          <w:tcPr>
            <w:tcW w:w="1985"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12m³</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106</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每周2次日常维护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23</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月度维护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24</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季度维护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25</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半年度维护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26</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27</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不限</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故障性检修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28</w:t>
            </w:r>
          </w:p>
        </w:tc>
        <w:tc>
          <w:tcPr>
            <w:tcW w:w="1701"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液压抓斗（6台，4用2备）</w:t>
            </w:r>
          </w:p>
        </w:tc>
        <w:tc>
          <w:tcPr>
            <w:tcW w:w="1276"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佩纳</w:t>
            </w:r>
          </w:p>
        </w:tc>
        <w:tc>
          <w:tcPr>
            <w:tcW w:w="1985" w:type="dxa"/>
            <w:vMerge w:val="restart"/>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MZGL4000-3</w:t>
            </w: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53</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每周1次日常维护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29</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月度维护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30</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季度维护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31</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半年度维护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32</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年度维护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5"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33</w:t>
            </w:r>
          </w:p>
        </w:tc>
        <w:tc>
          <w:tcPr>
            <w:tcW w:w="1701"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276"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1985" w:type="dxa"/>
            <w:vMerge w:val="continue"/>
            <w:vAlign w:val="center"/>
          </w:tcPr>
          <w:p>
            <w:pPr>
              <w:adjustRightInd w:val="0"/>
              <w:snapToGrid w:val="0"/>
              <w:jc w:val="center"/>
              <w:rPr>
                <w:rFonts w:asciiTheme="minorEastAsia" w:hAnsiTheme="minorEastAsia" w:eastAsiaTheme="minorEastAsia" w:cstheme="minorEastAsia"/>
                <w:sz w:val="24"/>
                <w:highlight w:val="none"/>
              </w:rPr>
            </w:pPr>
          </w:p>
        </w:tc>
        <w:tc>
          <w:tcPr>
            <w:tcW w:w="708"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次</w:t>
            </w:r>
          </w:p>
        </w:tc>
        <w:tc>
          <w:tcPr>
            <w:tcW w:w="709"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不限</w:t>
            </w:r>
          </w:p>
        </w:tc>
        <w:tc>
          <w:tcPr>
            <w:tcW w:w="2410" w:type="dxa"/>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故障性检修</w:t>
            </w:r>
          </w:p>
        </w:tc>
      </w:tr>
    </w:tbl>
    <w:p>
      <w:pPr>
        <w:adjustRightInd w:val="0"/>
        <w:snapToGrid w:val="0"/>
        <w:rPr>
          <w:rFonts w:asciiTheme="minorEastAsia" w:hAnsiTheme="minorEastAsia" w:eastAsiaTheme="minorEastAsia" w:cstheme="minorEastAsia"/>
          <w:b/>
          <w:sz w:val="24"/>
          <w:highlight w:val="none"/>
          <w:lang w:bidi="en-US"/>
        </w:rPr>
      </w:pPr>
    </w:p>
    <w:p>
      <w:pPr>
        <w:adjustRightInd w:val="0"/>
        <w:snapToGrid w:val="0"/>
        <w:ind w:left="241" w:hanging="241" w:hangingChars="100"/>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表2 起重机械检查项目清单</w:t>
      </w:r>
    </w:p>
    <w:p>
      <w:pPr>
        <w:adjustRightInd w:val="0"/>
        <w:snapToGrid w:val="0"/>
        <w:rPr>
          <w:rFonts w:asciiTheme="minorEastAsia" w:hAnsiTheme="minorEastAsia" w:eastAsiaTheme="minorEastAsia" w:cstheme="minorEastAsia"/>
          <w:sz w:val="24"/>
          <w:highlight w:val="none"/>
        </w:rPr>
      </w:pPr>
    </w:p>
    <w:p>
      <w:pPr>
        <w:adjustRightInd w:val="0"/>
        <w:snapToGrid w:val="0"/>
        <w:ind w:left="240" w:hanging="240" w:hangingChars="100"/>
        <w:rPr>
          <w:rFonts w:asciiTheme="minorEastAsia" w:hAnsiTheme="minorEastAsia" w:eastAsiaTheme="minorEastAsia" w:cstheme="minorEastAsia"/>
          <w:bCs/>
          <w:sz w:val="24"/>
          <w:highlight w:val="none"/>
          <w:lang w:bidi="en-US"/>
        </w:rPr>
      </w:pPr>
      <w:r>
        <w:rPr>
          <w:rFonts w:hint="eastAsia" w:asciiTheme="minorEastAsia" w:hAnsiTheme="minorEastAsia" w:eastAsiaTheme="minorEastAsia" w:cstheme="minorEastAsia"/>
          <w:bCs/>
          <w:sz w:val="24"/>
          <w:highlight w:val="none"/>
          <w:lang w:bidi="en-US"/>
        </w:rPr>
        <w:t>机械部分检查</w:t>
      </w:r>
    </w:p>
    <w:tbl>
      <w:tblPr>
        <w:tblStyle w:val="25"/>
        <w:tblW w:w="8861" w:type="dxa"/>
        <w:tblInd w:w="-30" w:type="dxa"/>
        <w:tblLayout w:type="autofit"/>
        <w:tblCellMar>
          <w:top w:w="0" w:type="dxa"/>
          <w:left w:w="108" w:type="dxa"/>
          <w:bottom w:w="0" w:type="dxa"/>
          <w:right w:w="108" w:type="dxa"/>
        </w:tblCellMar>
      </w:tblPr>
      <w:tblGrid>
        <w:gridCol w:w="586"/>
        <w:gridCol w:w="529"/>
        <w:gridCol w:w="931"/>
        <w:gridCol w:w="2635"/>
        <w:gridCol w:w="2092"/>
        <w:gridCol w:w="2088"/>
      </w:tblGrid>
      <w:tr>
        <w:tblPrEx>
          <w:tblCellMar>
            <w:top w:w="0" w:type="dxa"/>
            <w:left w:w="108" w:type="dxa"/>
            <w:bottom w:w="0" w:type="dxa"/>
            <w:right w:w="108" w:type="dxa"/>
          </w:tblCellMar>
        </w:tblPrEx>
        <w:trPr>
          <w:trHeight w:val="315" w:hRule="atLeast"/>
        </w:trPr>
        <w:tc>
          <w:tcPr>
            <w:tcW w:w="5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序号</w:t>
            </w:r>
          </w:p>
        </w:tc>
        <w:tc>
          <w:tcPr>
            <w:tcW w:w="1460" w:type="dxa"/>
            <w:gridSpan w:val="2"/>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检查项</w:t>
            </w:r>
          </w:p>
        </w:tc>
        <w:tc>
          <w:tcPr>
            <w:tcW w:w="2635"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检查内容</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检查方法及要领</w:t>
            </w:r>
          </w:p>
        </w:tc>
        <w:tc>
          <w:tcPr>
            <w:tcW w:w="2088"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hint="default" w:asciiTheme="minorEastAsia" w:hAnsiTheme="minorEastAsia" w:eastAsiaTheme="minorEastAsia" w:cstheme="minorEastAsia"/>
                <w:b/>
                <w:bCs/>
                <w:sz w:val="24"/>
                <w:highlight w:val="none"/>
                <w:lang w:val="en-US" w:eastAsia="zh-CN" w:bidi="th-TH"/>
              </w:rPr>
            </w:pPr>
            <w:r>
              <w:rPr>
                <w:rFonts w:hint="eastAsia" w:asciiTheme="minorEastAsia" w:hAnsiTheme="minorEastAsia" w:eastAsiaTheme="minorEastAsia" w:cstheme="minorEastAsia"/>
                <w:b/>
                <w:bCs/>
                <w:sz w:val="24"/>
                <w:highlight w:val="none"/>
                <w:lang w:val="en-US" w:eastAsia="zh-CN" w:bidi="th-TH"/>
              </w:rPr>
              <w:t>周期</w:t>
            </w:r>
          </w:p>
        </w:tc>
      </w:tr>
      <w:tr>
        <w:tblPrEx>
          <w:tblCellMar>
            <w:top w:w="0" w:type="dxa"/>
            <w:left w:w="108" w:type="dxa"/>
            <w:bottom w:w="0" w:type="dxa"/>
            <w:right w:w="108" w:type="dxa"/>
          </w:tblCellMar>
        </w:tblPrEx>
        <w:trPr>
          <w:trHeight w:val="435"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w:t>
            </w:r>
          </w:p>
        </w:tc>
        <w:tc>
          <w:tcPr>
            <w:tcW w:w="529"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主</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副</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起</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升</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机</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构</w:t>
            </w: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减速箱</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（起升）</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检查油位、是否漏油</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检查减速箱内高速轴部分，齿轮是否磨损、油封是否泄漏、老化。</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照明，目测</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3</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轴承无异常振动和温度</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目测手摸</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4</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起升电机侧无漏油，运行声音正常</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目测，听声音</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5</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卷筒</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钢丝绳压板螺栓无松动断裂</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用工具紧固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每2周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6</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检查钢丝绳磨损程度，直径分段测量，无断股。断丝情况记录分析</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目视，测量，标准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15"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7</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导绳器机构紧固、清理、润滑</w:t>
            </w:r>
          </w:p>
        </w:tc>
        <w:tc>
          <w:tcPr>
            <w:tcW w:w="20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目视及紧固</w:t>
            </w:r>
          </w:p>
        </w:tc>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8</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防晃系统机械机构紧固、有无变形</w:t>
            </w:r>
          </w:p>
        </w:tc>
        <w:tc>
          <w:tcPr>
            <w:tcW w:w="20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目视及紧固</w:t>
            </w:r>
          </w:p>
        </w:tc>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9</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卷筒轴承加油</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油枪加油</w:t>
            </w:r>
          </w:p>
        </w:tc>
        <w:tc>
          <w:tcPr>
            <w:tcW w:w="2088"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10</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检查卷筒磨损情况，清洁卷筒</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测量磨损深度</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11</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卷筒基座与小车固定</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拧紧，并做标记</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每2周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12</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联轴器</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联轴器及轴键无松动（各间隙均匀）</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目视联轴器窜动</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每2周</w:t>
            </w:r>
          </w:p>
        </w:tc>
      </w:tr>
      <w:tr>
        <w:tblPrEx>
          <w:tblCellMar>
            <w:top w:w="0" w:type="dxa"/>
            <w:left w:w="108" w:type="dxa"/>
            <w:bottom w:w="0" w:type="dxa"/>
            <w:right w:w="108" w:type="dxa"/>
          </w:tblCellMar>
        </w:tblPrEx>
        <w:trPr>
          <w:trHeight w:val="405"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13</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缓震器磨损状态</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81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14</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刹车</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（起升）</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制动器松开时，制动闸瓦与制动轮各处间隙应基本相等；闸瓦磨损正常。</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15</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制动轮表面光滑，无凹凸不平的沟槽或裂纹。</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16</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各开口销无损坏、脱落；螺栓紧固无松动</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目视及紧固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3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17</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电力液压推动器无渗油异响，刹车闭合时行程有安全余量</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目视渗油情况，测量量程</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1005"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18</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起升</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电动机外表无损伤，轴承无异响，运行时马达无异常发热、异音、联轴器弹性轮无老化磨损。</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目视并听声音</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19</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电动机连接螺栓应紧固</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用工具紧固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20</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测量电机三相绕组，阻值应大致相等.测量对地绝缘</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拆开连线，测量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270"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21</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测量三相电流应平衡。</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用钳形表测量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81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22</w:t>
            </w:r>
          </w:p>
        </w:tc>
        <w:tc>
          <w:tcPr>
            <w:tcW w:w="5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大</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车</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运</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行</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机</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构</w:t>
            </w: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减速箱</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检查箱体油位，查看无渗漏，如A50以上的减速器，检查排气阀是否堵塞</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查看油位，油质量应良好</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eastAsia"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bidi="th-TH"/>
              </w:rPr>
              <w:t>2</w:t>
            </w:r>
            <w:r>
              <w:rPr>
                <w:rFonts w:hint="eastAsia" w:asciiTheme="minorEastAsia" w:hAnsiTheme="minorEastAsia" w:eastAsiaTheme="minorEastAsia" w:cstheme="minorEastAsia"/>
                <w:sz w:val="24"/>
                <w:highlight w:val="none"/>
                <w:lang w:val="en-US" w:eastAsia="zh-CN" w:bidi="th-TH"/>
              </w:rPr>
              <w:t>3</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检查齿轮是否磨损，磨损严重的应予以更换</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打开小盖，用电筒照明，目测</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24</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减速器运行时无异常噪音，且温度正常</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听声音和手摸</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825"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25</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减速箱力臂矩与端梁固定螺栓应紧固、牢靠</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用工具紧固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26</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走轮</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无卡轨异响，如是KEM走轮，需加注油脂。</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听，应无异常声音</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885"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27</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检查磨损情况</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根据走轮上磨损标记判断</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28</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制动器</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制动器动作后，看大车的滑行距离</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估计测量滑行距离并记录</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29</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打开风扇罩壳，看刹车松开是否顺畅，一致，</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打开风扇罩壳目视检查</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30</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检查刹车片的磨损情况，磨损是否均匀</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目视或测量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31</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调整刹车磁隙，根据刹车型号确定（0.35-1.3）</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塞尺检查，调整均匀。</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81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32</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缓冲器</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液压缓冲器无渗油现象，缓冲座功能正常，固定牢靠；阻挡器安装牢固。</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目视及紧固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81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33</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大车轨道</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行轨压板螺栓紧固无松动，行轨对接处夹板完好无脱落，检查跨距，水平度、直线性等指标</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目视检查、仪器测量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34</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轴承无异响，运行时马达无异常发热，行走电机同步。</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目视并听声音</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6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35</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电动机连接螺栓应紧固、牢固</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用工具紧固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36</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测量电机三相绕组，阻值应大致相等。测量各绕组对地绝缘电阻</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拆开外部连线，测量并记录</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900" w:hRule="atLeast"/>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37</w:t>
            </w:r>
          </w:p>
        </w:tc>
        <w:tc>
          <w:tcPr>
            <w:tcW w:w="5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测量三相电流应平衡</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用钳形表测量，并记录</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39"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38</w:t>
            </w:r>
          </w:p>
        </w:tc>
        <w:tc>
          <w:tcPr>
            <w:tcW w:w="529"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小</w:t>
            </w:r>
          </w:p>
          <w:p>
            <w:pPr>
              <w:widowControl/>
              <w:adjustRightInd w:val="0"/>
              <w:snapToGrid w:val="0"/>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车</w:t>
            </w:r>
          </w:p>
          <w:p>
            <w:pPr>
              <w:widowControl/>
              <w:adjustRightInd w:val="0"/>
              <w:snapToGrid w:val="0"/>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运</w:t>
            </w:r>
          </w:p>
          <w:p>
            <w:pPr>
              <w:widowControl/>
              <w:adjustRightInd w:val="0"/>
              <w:snapToGrid w:val="0"/>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行</w:t>
            </w:r>
          </w:p>
          <w:p>
            <w:pPr>
              <w:widowControl/>
              <w:adjustRightInd w:val="0"/>
              <w:snapToGrid w:val="0"/>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机</w:t>
            </w:r>
          </w:p>
          <w:p>
            <w:pPr>
              <w:widowControl/>
              <w:adjustRightInd w:val="0"/>
              <w:snapToGrid w:val="0"/>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构</w:t>
            </w: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减速箱</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查看无渗漏</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查看油位，油质量应良好</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39</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运行时无异常噪音，表面温度正常</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听声音手摸</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40</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减速箱力臂矩与小车端梁固定螺栓应紧固、牢靠</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用工具紧固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eastAsia"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bidi="th-TH"/>
              </w:rPr>
              <w:t>4</w:t>
            </w:r>
            <w:r>
              <w:rPr>
                <w:rFonts w:hint="eastAsia" w:asciiTheme="minorEastAsia" w:hAnsiTheme="minorEastAsia" w:eastAsiaTheme="minorEastAsia" w:cstheme="minorEastAsia"/>
                <w:sz w:val="24"/>
                <w:highlight w:val="none"/>
                <w:lang w:val="en-US" w:eastAsia="zh-CN" w:bidi="th-TH"/>
              </w:rPr>
              <w:t>1</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走轮</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无卡轨异响，走轮加注油脂。</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听，应无异常声音</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42</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检查磨损情况，看轮缘标志</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磨损标记判断</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43</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制动器</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操作停后，看小车的滑行距离。</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估计测量滑行距离并记录</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44</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打开风扇罩壳，看刹车松开是否顺畅，一致，</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打开风扇罩壳目视检查</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45</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检查刹车片的磨损情况，磨损是否均匀</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目视或测量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46</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调整刹车磁隙，根据刹车型号确定（0.35-1.3）</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塞尺检查，调整均匀</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47</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缓冲器</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缓冲座功能正常，固定牢靠，有无裂纹；阻挡器安装牢固。</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目视及紧固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48</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轨道</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轨道磨损情况，接头是否平整，焊缝是否开裂</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49</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轴承无异响，运行时马达无异常发热。</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目视并听声音</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50</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电动机连接螺栓应紧固、牢固</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用工具紧固</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51</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测量电机三相绕组，阻值应大致相等。测量各绕组对地绝缘电阻</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测量并记录</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52</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测量三相电流应平衡</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用钳形表测</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53</w:t>
            </w:r>
          </w:p>
        </w:tc>
        <w:tc>
          <w:tcPr>
            <w:tcW w:w="529" w:type="dxa"/>
            <w:vMerge w:val="restart"/>
            <w:tcBorders>
              <w:top w:val="nil"/>
              <w:left w:val="single" w:color="auto" w:sz="4" w:space="0"/>
              <w:bottom w:val="single" w:color="000000"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机</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械</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结</w:t>
            </w:r>
          </w:p>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构</w:t>
            </w: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基础</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外观检查</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4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54</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承轨梁</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外观检查螺栓连接，支撑，加强情况，接缝情况，并标记</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55</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检查承轨梁的高低精度</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目视或测量</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56</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走台</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外观检查走台的紧固情况，</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57</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检查通道的扶手栏杆等防落设施</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手摸，目视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58</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端梁</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检查端梁与主梁的连接螺栓</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检查标记</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r>
        <w:tblPrEx>
          <w:tblCellMar>
            <w:top w:w="0" w:type="dxa"/>
            <w:left w:w="108" w:type="dxa"/>
            <w:bottom w:w="0" w:type="dxa"/>
            <w:right w:w="108" w:type="dxa"/>
          </w:tblCellMar>
        </w:tblPrEx>
        <w:trPr>
          <w:trHeight w:val="270" w:hRule="atLeast"/>
          <w:jc w:val="center"/>
        </w:trPr>
        <w:tc>
          <w:tcPr>
            <w:tcW w:w="586"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hint="default" w:asciiTheme="minorEastAsia" w:hAnsiTheme="minorEastAsia" w:eastAsiaTheme="minorEastAsia" w:cstheme="minorEastAsia"/>
                <w:sz w:val="24"/>
                <w:highlight w:val="none"/>
                <w:lang w:val="en-US" w:eastAsia="zh-CN" w:bidi="th-TH"/>
              </w:rPr>
            </w:pPr>
            <w:r>
              <w:rPr>
                <w:rFonts w:hint="eastAsia" w:asciiTheme="minorEastAsia" w:hAnsiTheme="minorEastAsia" w:eastAsiaTheme="minorEastAsia" w:cstheme="minorEastAsia"/>
                <w:sz w:val="24"/>
                <w:highlight w:val="none"/>
                <w:lang w:val="en-US" w:eastAsia="zh-CN" w:bidi="th-TH"/>
              </w:rPr>
              <w:t>59</w:t>
            </w:r>
          </w:p>
        </w:tc>
        <w:tc>
          <w:tcPr>
            <w:tcW w:w="529"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931"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小车架</w:t>
            </w:r>
          </w:p>
        </w:tc>
        <w:tc>
          <w:tcPr>
            <w:tcW w:w="263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目视检查螺栓连接和焊接情况</w:t>
            </w:r>
          </w:p>
        </w:tc>
        <w:tc>
          <w:tcPr>
            <w:tcW w:w="2092"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2088"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每月</w:t>
            </w:r>
          </w:p>
        </w:tc>
      </w:tr>
    </w:tbl>
    <w:p>
      <w:pPr>
        <w:adjustRightInd w:val="0"/>
        <w:snapToGrid w:val="0"/>
        <w:ind w:left="240" w:hanging="240" w:hangingChars="100"/>
        <w:rPr>
          <w:rFonts w:asciiTheme="minorEastAsia" w:hAnsiTheme="minorEastAsia" w:eastAsiaTheme="minorEastAsia" w:cstheme="minorEastAsia"/>
          <w:bCs/>
          <w:sz w:val="24"/>
          <w:highlight w:val="none"/>
          <w:lang w:bidi="en-US"/>
        </w:rPr>
      </w:pPr>
    </w:p>
    <w:p>
      <w:pPr>
        <w:adjustRightInd w:val="0"/>
        <w:snapToGrid w:val="0"/>
        <w:ind w:left="240" w:hanging="240" w:hangingChars="100"/>
        <w:rPr>
          <w:rFonts w:asciiTheme="minorEastAsia" w:hAnsiTheme="minorEastAsia" w:eastAsiaTheme="minorEastAsia" w:cstheme="minorEastAsia"/>
          <w:bCs/>
          <w:sz w:val="24"/>
          <w:highlight w:val="none"/>
          <w:lang w:bidi="en-US"/>
        </w:rPr>
      </w:pPr>
    </w:p>
    <w:p>
      <w:pPr>
        <w:adjustRightInd w:val="0"/>
        <w:snapToGrid w:val="0"/>
        <w:ind w:left="240" w:hanging="240" w:hangingChars="100"/>
        <w:rPr>
          <w:rFonts w:asciiTheme="minorEastAsia" w:hAnsiTheme="minorEastAsia" w:eastAsiaTheme="minorEastAsia" w:cstheme="minorEastAsia"/>
          <w:bCs/>
          <w:sz w:val="24"/>
          <w:highlight w:val="none"/>
          <w:lang w:bidi="en-US"/>
        </w:rPr>
      </w:pPr>
    </w:p>
    <w:p>
      <w:pPr>
        <w:adjustRightInd w:val="0"/>
        <w:snapToGrid w:val="0"/>
        <w:ind w:left="240" w:hanging="240" w:hangingChars="100"/>
        <w:rPr>
          <w:rFonts w:asciiTheme="minorEastAsia" w:hAnsiTheme="minorEastAsia" w:eastAsiaTheme="minorEastAsia" w:cstheme="minorEastAsia"/>
          <w:bCs/>
          <w:sz w:val="24"/>
          <w:highlight w:val="none"/>
          <w:lang w:bidi="en-US"/>
        </w:rPr>
      </w:pPr>
      <w:r>
        <w:rPr>
          <w:rFonts w:hint="eastAsia" w:asciiTheme="minorEastAsia" w:hAnsiTheme="minorEastAsia" w:eastAsiaTheme="minorEastAsia" w:cstheme="minorEastAsia"/>
          <w:bCs/>
          <w:sz w:val="24"/>
          <w:highlight w:val="none"/>
          <w:lang w:bidi="en-US"/>
        </w:rPr>
        <w:t>电气系统检查</w:t>
      </w:r>
    </w:p>
    <w:tbl>
      <w:tblPr>
        <w:tblStyle w:val="25"/>
        <w:tblW w:w="8748" w:type="dxa"/>
        <w:tblInd w:w="84" w:type="dxa"/>
        <w:tblLayout w:type="autofit"/>
        <w:tblCellMar>
          <w:top w:w="0" w:type="dxa"/>
          <w:left w:w="108" w:type="dxa"/>
          <w:bottom w:w="0" w:type="dxa"/>
          <w:right w:w="108" w:type="dxa"/>
        </w:tblCellMar>
      </w:tblPr>
      <w:tblGrid>
        <w:gridCol w:w="551"/>
        <w:gridCol w:w="456"/>
        <w:gridCol w:w="1126"/>
        <w:gridCol w:w="3178"/>
        <w:gridCol w:w="1719"/>
        <w:gridCol w:w="1718"/>
      </w:tblGrid>
      <w:tr>
        <w:tblPrEx>
          <w:tblCellMar>
            <w:top w:w="0" w:type="dxa"/>
            <w:left w:w="108" w:type="dxa"/>
            <w:bottom w:w="0" w:type="dxa"/>
            <w:right w:w="108" w:type="dxa"/>
          </w:tblCellMar>
        </w:tblPrEx>
        <w:trPr>
          <w:trHeight w:val="686" w:hRule="atLeast"/>
        </w:trPr>
        <w:tc>
          <w:tcPr>
            <w:tcW w:w="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序号</w:t>
            </w:r>
          </w:p>
        </w:tc>
        <w:tc>
          <w:tcPr>
            <w:tcW w:w="1553" w:type="dxa"/>
            <w:gridSpan w:val="2"/>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检查项</w:t>
            </w:r>
          </w:p>
        </w:tc>
        <w:tc>
          <w:tcPr>
            <w:tcW w:w="3193"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检查内容</w:t>
            </w:r>
          </w:p>
        </w:tc>
        <w:tc>
          <w:tcPr>
            <w:tcW w:w="1725"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b/>
                <w:bCs/>
                <w:sz w:val="24"/>
                <w:highlight w:val="none"/>
                <w:lang w:bidi="th-TH"/>
              </w:rPr>
            </w:pPr>
            <w:r>
              <w:rPr>
                <w:rFonts w:hint="eastAsia" w:asciiTheme="minorEastAsia" w:hAnsiTheme="minorEastAsia" w:eastAsiaTheme="minorEastAsia" w:cstheme="minorEastAsia"/>
                <w:b/>
                <w:bCs/>
                <w:sz w:val="24"/>
                <w:highlight w:val="none"/>
                <w:lang w:bidi="th-TH"/>
              </w:rPr>
              <w:t>检查方法及要领</w:t>
            </w:r>
          </w:p>
        </w:tc>
        <w:tc>
          <w:tcPr>
            <w:tcW w:w="1725"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hint="default" w:asciiTheme="minorEastAsia" w:hAnsiTheme="minorEastAsia" w:eastAsiaTheme="minorEastAsia" w:cstheme="minorEastAsia"/>
                <w:b/>
                <w:bCs/>
                <w:sz w:val="24"/>
                <w:highlight w:val="none"/>
                <w:lang w:val="en-US" w:eastAsia="zh-CN" w:bidi="th-TH"/>
              </w:rPr>
            </w:pPr>
            <w:r>
              <w:rPr>
                <w:rFonts w:hint="eastAsia" w:asciiTheme="minorEastAsia" w:hAnsiTheme="minorEastAsia" w:eastAsiaTheme="minorEastAsia" w:cstheme="minorEastAsia"/>
                <w:b/>
                <w:bCs/>
                <w:sz w:val="24"/>
                <w:highlight w:val="none"/>
                <w:lang w:val="en-US" w:eastAsia="zh-CN" w:bidi="th-TH"/>
              </w:rPr>
              <w:t>周期</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w:t>
            </w:r>
          </w:p>
        </w:tc>
        <w:tc>
          <w:tcPr>
            <w:tcW w:w="42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w:t>
            </w: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气</w:t>
            </w: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控</w:t>
            </w: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w:t>
            </w:r>
          </w:p>
        </w:tc>
        <w:tc>
          <w:tcPr>
            <w:tcW w:w="1129"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指示灯</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各类指示灯完好。</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目视检查</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限位开关</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各限位开关无松动损坏，动作灵活，功能正常。</w:t>
            </w:r>
          </w:p>
        </w:tc>
        <w:tc>
          <w:tcPr>
            <w:tcW w:w="172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目视检查，并功能测试</w:t>
            </w:r>
          </w:p>
        </w:tc>
        <w:tc>
          <w:tcPr>
            <w:tcW w:w="1725"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3</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上限位、急停限位、下急停限位</w:t>
            </w:r>
          </w:p>
        </w:tc>
        <w:tc>
          <w:tcPr>
            <w:tcW w:w="172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72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4</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大，小车限位开关功能正常挡块安装正确紧固，</w:t>
            </w:r>
          </w:p>
        </w:tc>
        <w:tc>
          <w:tcPr>
            <w:tcW w:w="172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72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5</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门限位、急停按钮功能良好。</w:t>
            </w:r>
          </w:p>
        </w:tc>
        <w:tc>
          <w:tcPr>
            <w:tcW w:w="172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72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6</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大小车挂缆</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托令电缆滑轨紧固情况，有无杂物、运行有无异音</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检查，整理、紧固</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7</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大/小车挂缆平整、顺畅，无扭曲、变形、未出电缆束</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目视，整理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8</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托令小车运行顺畅，无异音、变形、松弛</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目视，紧固</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9</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挂缆牵引支架紧固，未变形</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目视，紧固</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10</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挂缆未松弛，无异物</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清洁、整理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11</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电阻箱</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电阻固定牢固，内部无异物、周围无可燃物</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清洁、整理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12</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电缆及端子箱</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接线端子未变形、变色、接线紧固；线头未裸露、松弛、氧化。</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13</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轨道端头中间端子箱内部接线是否正常，无异物、粉尘 </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目视，整理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14</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行车上端子箱内部接线是否正常，无异物、粉尘；电箱密封完好</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目视，手动测试</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1024"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15</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电缆绝缘完好，没有老化开裂，电缆布置整齐，固定良好，没有松挂垂落</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目视检查，手工整理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bottom"/>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16</w:t>
            </w:r>
          </w:p>
        </w:tc>
        <w:tc>
          <w:tcPr>
            <w:tcW w:w="42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各电缆槽盖板固定牢固，无缺损。</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目视和紧固</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17</w:t>
            </w:r>
          </w:p>
        </w:tc>
        <w:tc>
          <w:tcPr>
            <w:tcW w:w="424"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val="0"/>
              <w:snapToGrid w:val="0"/>
              <w:spacing w:after="240"/>
              <w:jc w:val="center"/>
              <w:rPr>
                <w:rFonts w:asciiTheme="minorEastAsia" w:hAnsiTheme="minorEastAsia" w:eastAsiaTheme="minorEastAsia" w:cstheme="minorEastAsia"/>
                <w:sz w:val="24"/>
                <w:highlight w:val="none"/>
                <w:lang w:bidi="th-TH"/>
              </w:rPr>
            </w:pP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w:t>
            </w: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气</w:t>
            </w: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控</w:t>
            </w:r>
          </w:p>
          <w:p>
            <w:pPr>
              <w:widowControl/>
              <w:adjustRightInd w:val="0"/>
              <w:snapToGrid w:val="0"/>
              <w:spacing w:after="24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制</w:t>
            </w: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电柜箱</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箱体没有破损，变形，粉尘，密封完好</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目视和密封</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17"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18</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箱体内部清洁，无积尘或污物</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用毛刷、布清洁，并目视检查</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1024"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19</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配线，检查电柜箱内所有电器元件和各接线端子的紧固情况，要求无松动。</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整理紧固</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20</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接触器，继电器动作灵敏，触头接触良好，运行无异音、异味</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21</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接线端没有明显的发热发黄，内部温度正常，排气扇工作正常</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22</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保险丝完好，空气开关设置正确，变频器报警记录</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检查调整</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23</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PLC</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检查PLC各部件有无异常，查看故障报警。</w:t>
            </w:r>
          </w:p>
        </w:tc>
        <w:tc>
          <w:tcPr>
            <w:tcW w:w="172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w:t>
            </w:r>
          </w:p>
        </w:tc>
        <w:tc>
          <w:tcPr>
            <w:tcW w:w="1725"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24</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检查PLC模块通讯是否正常</w:t>
            </w:r>
          </w:p>
        </w:tc>
        <w:tc>
          <w:tcPr>
            <w:tcW w:w="172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72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25</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座椅</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检查座椅手柄、按钮等各元件有无异常</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68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26</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检查座椅底部各元件及接线有无异常</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 xml:space="preserve"> 检查调整</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27</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检查触摸屏功能</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检查调整</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28</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安全设施</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检查各接地是否可靠</w:t>
            </w:r>
          </w:p>
        </w:tc>
        <w:tc>
          <w:tcPr>
            <w:tcW w:w="172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目视检查及测量</w:t>
            </w:r>
          </w:p>
        </w:tc>
        <w:tc>
          <w:tcPr>
            <w:tcW w:w="1725"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29</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检查各过流过热过速保护设施</w:t>
            </w:r>
          </w:p>
        </w:tc>
        <w:tc>
          <w:tcPr>
            <w:tcW w:w="172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72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348"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30</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检查过载、松绳保护系统</w:t>
            </w:r>
          </w:p>
        </w:tc>
        <w:tc>
          <w:tcPr>
            <w:tcW w:w="172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72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17"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31</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遥控器</w:t>
            </w: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检查发射器各按键和急停开关</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目视和手动检查，开盖检查</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r>
        <w:tblPrEx>
          <w:tblCellMar>
            <w:top w:w="0" w:type="dxa"/>
            <w:left w:w="108" w:type="dxa"/>
            <w:bottom w:w="0" w:type="dxa"/>
            <w:right w:w="108" w:type="dxa"/>
          </w:tblCellMar>
        </w:tblPrEx>
        <w:trPr>
          <w:trHeight w:val="526" w:hRule="atLeast"/>
        </w:trPr>
        <w:tc>
          <w:tcPr>
            <w:tcW w:w="552"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32</w:t>
            </w:r>
          </w:p>
        </w:tc>
        <w:tc>
          <w:tcPr>
            <w:tcW w:w="424" w:type="dxa"/>
            <w:vMerge w:val="continue"/>
            <w:tcBorders>
              <w:top w:val="nil"/>
              <w:left w:val="single" w:color="auto" w:sz="4" w:space="0"/>
              <w:bottom w:val="single" w:color="000000"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112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lang w:bidi="th-TH"/>
              </w:rPr>
            </w:pPr>
          </w:p>
        </w:tc>
        <w:tc>
          <w:tcPr>
            <w:tcW w:w="3193"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检查接收器指示状况，天线情况</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bidi="th-TH"/>
              </w:rPr>
              <w:t>目视检查，并功能测试</w:t>
            </w:r>
          </w:p>
        </w:tc>
        <w:tc>
          <w:tcPr>
            <w:tcW w:w="1725"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hint="eastAsia" w:asciiTheme="minorEastAsia" w:hAnsiTheme="minorEastAsia" w:eastAsiaTheme="minorEastAsia" w:cstheme="minorEastAsia"/>
                <w:sz w:val="24"/>
                <w:highlight w:val="none"/>
                <w:lang w:bidi="th-TH"/>
              </w:rPr>
            </w:pPr>
            <w:r>
              <w:rPr>
                <w:rFonts w:hint="eastAsia" w:asciiTheme="minorEastAsia" w:hAnsiTheme="minorEastAsia" w:eastAsiaTheme="minorEastAsia" w:cstheme="minorEastAsia"/>
                <w:sz w:val="24"/>
                <w:highlight w:val="none"/>
                <w:lang w:val="en-US" w:eastAsia="zh-CN" w:bidi="th-TH"/>
              </w:rPr>
              <w:t>每周</w:t>
            </w:r>
          </w:p>
        </w:tc>
      </w:tr>
    </w:tbl>
    <w:p>
      <w:pPr>
        <w:adjustRightInd w:val="0"/>
        <w:snapToGrid w:val="0"/>
        <w:rPr>
          <w:rFonts w:asciiTheme="minorEastAsia" w:hAnsiTheme="minorEastAsia" w:eastAsiaTheme="minorEastAsia" w:cstheme="minorEastAsia"/>
          <w:sz w:val="24"/>
          <w:highlight w:val="none"/>
        </w:rPr>
      </w:pPr>
    </w:p>
    <w:p>
      <w:pPr>
        <w:pStyle w:val="2"/>
        <w:rPr>
          <w:rFonts w:asciiTheme="minorEastAsia" w:hAnsiTheme="minorEastAsia" w:eastAsiaTheme="minorEastAsia" w:cstheme="minorEastAsia"/>
          <w:sz w:val="24"/>
          <w:highlight w:val="none"/>
        </w:rPr>
      </w:pPr>
    </w:p>
    <w:p>
      <w:pPr>
        <w:rPr>
          <w:highlight w:val="none"/>
        </w:rPr>
      </w:pPr>
    </w:p>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垃圾吊及抓斗保养项目</w:t>
      </w:r>
    </w:p>
    <w:tbl>
      <w:tblPr>
        <w:tblStyle w:val="25"/>
        <w:tblW w:w="8996"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8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8381"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项  目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96" w:type="dxa"/>
            <w:gridSpan w:val="2"/>
            <w:shd w:val="clear" w:color="auto" w:fill="auto"/>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381" w:type="dxa"/>
            <w:shd w:val="clear" w:color="auto" w:fill="auto"/>
            <w:vAlign w:val="center"/>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检查钢丝绳及固定夹具、吊环是否磨损、松动、钢丝绳断股、断芯，检查抓斗是否平衡并进行调整。（每周两次）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381" w:type="dxa"/>
            <w:shd w:val="clear" w:color="auto" w:fill="auto"/>
            <w:vAlign w:val="center"/>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检查液压系统有无渗漏、液压油油位是否正常，加油至正常油位 。（每周两次）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381" w:type="dxa"/>
            <w:shd w:val="clear" w:color="auto" w:fill="auto"/>
            <w:vAlign w:val="center"/>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每周检查油品是否变质 （每周两次），更换抗磨液压油（每半年一次）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381" w:type="dxa"/>
            <w:shd w:val="clear" w:color="auto" w:fill="auto"/>
            <w:vAlign w:val="center"/>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抓斗各轴销加注二硫化钼润滑脂（共18处）（每周两次）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381" w:type="dxa"/>
            <w:shd w:val="clear" w:color="auto" w:fill="auto"/>
            <w:vAlign w:val="center"/>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抓斗开合有无异常声（每周两次）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381" w:type="dxa"/>
            <w:shd w:val="clear" w:color="auto" w:fill="auto"/>
            <w:vAlign w:val="center"/>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检查抓尖是否松动，脱落（每周两次）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开斗过程中上母管压力bar，下母管压力bar（每周两次）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抓斗全开时上母管压力bar，下母管压力bar（每周两次）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抓斗全关时上母管压力bar，下母管压力bar（每周两次）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测量油缸回油管温度 ℃ （每周两次）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96" w:type="dxa"/>
            <w:gridSpan w:val="2"/>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大车减速机齿轮箱有无渗漏。（每周两次）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大车减速机齿轮箱油位是否正常，加油至正常油位 。（每周两次）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大车减速机齿轮箱等传动部件有无异常声音。（每周两次）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大车驱动电机加注二硫化钼润滑脂（共二处）。（每周两次）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大车滚轮轴承加注二硫化钼润滑脂（共四处）。（每月一次）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大车刹车状况（每周两次）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大车定位链条是否正常（每周两次）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更换大车减速机齿轮箱润滑油（每年一次）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大车刹车装置部件有无松动（每周两次）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大车刹车闸皮厚度mm（每周两次）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大车防撞缓冲器有无松动（每周两次）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大车设备表面清灰（每周两次）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96" w:type="dxa"/>
            <w:gridSpan w:val="2"/>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小车减速机齿轮箱有无渗漏（每周两次）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小车减速机齿轮箱油位是否正常，加油至正常油位 。（每周两次）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小车减速机齿轮箱等传动部件有无异常声音（每周两次）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小车驱动电机加注二硫化钼润滑脂（共二处）（每月一次）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小车滚轮轴承加注二硫化钼润滑脂（共四处）（每月一次）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小车刹车状况（每周两次）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小车定位链条是否正常（每周两次）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更换小车减速机齿轮箱润滑油（每年一次）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小车刹车装置部件有无松动（每周两次）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小车刹车闸皮厚度mm（每周两次）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小车设备表面清灰（每周两次）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96" w:type="dxa"/>
            <w:gridSpan w:val="2"/>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抓斗提升机减速机齿轮箱油位是否正常，加油至正常油位 。（每周两次）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抓斗提升机减速机齿轮箱等传动部件有无异常声音（每周两次）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抓斗提升机减速机齿轮箱有无渗漏（每周两次）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抓斗提升机驱动电机加注二硫化钼润滑脂（共二处）（每月一次）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更换抓斗提升机减速机齿轮箱润滑油（每年一次）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抓斗提升机轴承加注二硫化钼润滑脂（共二处）（每周两次）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抓斗提升机刹车闸皮厚度mm   （每周两次）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耦合器传动部分声音是否异常（每周两次）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抓斗电缆有无破损，护网是否牢固（每周两次）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检查碳刷及滑环，清理碳刷室内的碳粉（每周两次）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8381" w:type="dxa"/>
            <w:shd w:val="clear" w:color="auto" w:fill="auto"/>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导绳器固定螺丝，导绳器活动（每周两次）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X向防晃器外观检查，紧固螺丝（每周两次）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13</w:t>
            </w:r>
          </w:p>
        </w:tc>
        <w:tc>
          <w:tcPr>
            <w:tcW w:w="8381" w:type="dxa"/>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Y向防晃器外观检查，紧固螺丝（每周两次）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14</w:t>
            </w:r>
          </w:p>
        </w:tc>
        <w:tc>
          <w:tcPr>
            <w:tcW w:w="8381" w:type="dxa"/>
            <w:shd w:val="clear" w:color="auto" w:fill="auto"/>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检查大车行走轨道螺栓松动，并紧固（每周两次）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15</w:t>
            </w:r>
          </w:p>
        </w:tc>
        <w:tc>
          <w:tcPr>
            <w:tcW w:w="8381" w:type="dxa"/>
            <w:shd w:val="clear" w:color="auto" w:fill="auto"/>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检查垃圾吊电缆支架，有无开裂松动（每周两次）</w:t>
            </w:r>
          </w:p>
        </w:tc>
      </w:tr>
    </w:tbl>
    <w:p>
      <w:pPr>
        <w:adjustRightInd w:val="0"/>
        <w:snapToGrid w:val="0"/>
        <w:rPr>
          <w:rFonts w:asciiTheme="minorEastAsia" w:hAnsiTheme="minorEastAsia" w:eastAsiaTheme="minorEastAsia" w:cstheme="minorEastAsia"/>
          <w:sz w:val="24"/>
          <w:highlight w:val="none"/>
        </w:rPr>
      </w:pPr>
    </w:p>
    <w:p>
      <w:pPr>
        <w:pStyle w:val="2"/>
        <w:tabs>
          <w:tab w:val="right" w:leader="dot" w:pos="9525"/>
        </w:tabs>
        <w:adjustRightInd w:val="0"/>
        <w:spacing w:line="240" w:lineRule="auto"/>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p>
    <w:p>
      <w:pPr>
        <w:pStyle w:val="2"/>
        <w:tabs>
          <w:tab w:val="right" w:leader="dot" w:pos="9525"/>
        </w:tabs>
        <w:adjustRightInd w:val="0"/>
        <w:spacing w:line="240" w:lineRule="auto"/>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渣吊及抓斗保养项目</w:t>
      </w:r>
    </w:p>
    <w:tbl>
      <w:tblPr>
        <w:tblStyle w:val="25"/>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8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8262" w:type="dxa"/>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项  目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4" w:type="dxa"/>
            <w:gridSpan w:val="2"/>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检查钢丝绳及固定夹具、吊环（每周一次）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抓斗各转动部件销轴处加滑油（每周一次）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检查抓斗开合有无异常声音（每周一次）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检查抓斗电缆的固定部分（抗拉网、钢丝绳等）是否需更换（每周一次）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更换液压系统滑油滤芯（每季度一次）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液压系统液压电机轴承加润滑脂（每半年一次）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钢丝绳外表加润滑脂（每周一次）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8262" w:type="dxa"/>
          </w:tcPr>
          <w:p>
            <w:pPr>
              <w:tabs>
                <w:tab w:val="center" w:pos="2690"/>
                <w:tab w:val="right" w:pos="5381"/>
              </w:tabs>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更换液压系统液压油（每年一次）</w:t>
            </w:r>
            <w:r>
              <w:rPr>
                <w:rFonts w:hint="eastAsia" w:asciiTheme="minorEastAsia" w:hAnsiTheme="minorEastAsia" w:eastAsiaTheme="minorEastAsia" w:cstheme="minorEastAsia"/>
                <w:sz w:val="24"/>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检测开合斗油压（每周一次）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4" w:type="dxa"/>
            <w:gridSpan w:val="2"/>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大小车、起升机构部分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检查起升电机齿轮箱有无渗漏、油位是否正常、轴承等转动部件有无异常声音（每月一次）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检查起升电机冷却风扇工作是否正常（每月一次）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小车行走电机的齿轮箱有无渗漏、油位是否正常、轴承等转动部件有无异常声音、钢轮固定螺丝是否松动（每月一次）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检查电力液压推动器工作是否正常，制动器及制动瓦松紧是否合适（每月一次）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电力液压推动器液压油（HLM46#抗磨液压油）有无渗漏、油位是否正常（每月一次）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检查电缆卷筒碳刷及滑环，清理碳刷室内的碳粉（每季度一次）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4" w:type="dxa"/>
            <w:gridSpan w:val="2"/>
            <w:shd w:val="clear" w:color="auto" w:fill="auto"/>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电缆（即挂缆）的固定滚轮有无松脱、滚轮有无损坏（每周一次）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清扫检修平台上的杂物（每周一次）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清扫箱、柜内的灰尘、电气粉尘（每周一次）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262"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紧固电缆（即挂缆）的固定滚轮（每周一次）</w:t>
            </w:r>
          </w:p>
        </w:tc>
      </w:tr>
    </w:tbl>
    <w:p>
      <w:pPr>
        <w:adjustRightInd w:val="0"/>
        <w:snapToGrid w:val="0"/>
        <w:rPr>
          <w:rFonts w:asciiTheme="minorEastAsia" w:hAnsiTheme="minorEastAsia" w:eastAsiaTheme="minorEastAsia" w:cstheme="minorEastAsia"/>
          <w:sz w:val="24"/>
          <w:highlight w:val="none"/>
        </w:rPr>
      </w:pPr>
    </w:p>
    <w:p>
      <w:pPr>
        <w:pStyle w:val="2"/>
        <w:tabs>
          <w:tab w:val="right" w:leader="dot" w:pos="9525"/>
        </w:tabs>
        <w:adjustRightInd w:val="0"/>
        <w:spacing w:line="240" w:lineRule="auto"/>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汽机吊保养项目</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8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8240" w:type="dxa"/>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项  目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检查起重机操作装置、机构是否灵活好用（每月一次）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检查钢丝绳是否有疲劳断丝、磨损、腐蚀、外伤、变形等（每月一次）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检查吊钩转动部位是否灵活、钩体表面是否光洁、有无裂纹（每月一次）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检查车轮踏面、轮缘和轮辐有无裂纹、磨损（每月一次）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检查轨道钢轨、螺栓有无裂纹、松脱和腐蚀（每月一次）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检查减速器地脚螺栓，是否有松动、脱落和折断，壳体是否有裂纹、变形缺损现象（每月一次）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检查减速器油位是否正常（每月一次）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检查传动轴或联轴器有无螺栓断裂、松动、缺失（每月一次）</w:t>
            </w:r>
            <w:r>
              <w:rPr>
                <w:rFonts w:hint="eastAsia" w:asciiTheme="minorEastAsia" w:hAnsiTheme="minorEastAsia" w:eastAsiaTheme="minorEastAsia" w:cstheme="minorEastAsia"/>
                <w:sz w:val="24"/>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检查制动装置是否可靠制动，制动器各绞点应转动灵活无卡涩（每月一次）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检查缓冲器是否有松脱、有无老化变质等不良情况（每月一次）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检查限位器动作是否可靠灵活，到达限位点时能否断电停车（每月一次）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检查消防设施是否完善合格（每月一次）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13</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检查行车门或行车控制开关是否上锁，锁具是否好用（每月一次）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shd w:val="clear" w:color="auto" w:fill="auto"/>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14</w:t>
            </w:r>
          </w:p>
        </w:tc>
        <w:tc>
          <w:tcPr>
            <w:tcW w:w="8240" w:type="dxa"/>
          </w:tcPr>
          <w:p>
            <w:pPr>
              <w:adjustRightInd w:val="0"/>
              <w:snapToGrid w:val="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检查行车通道、栏杆是否牢固并符合安规相关要求（每月一次）</w:t>
            </w:r>
          </w:p>
        </w:tc>
      </w:tr>
    </w:tbl>
    <w:p>
      <w:pPr>
        <w:adjustRightInd w:val="0"/>
        <w:snapToGrid w:val="0"/>
        <w:ind w:left="241" w:hanging="241" w:hangingChars="100"/>
        <w:rPr>
          <w:rFonts w:asciiTheme="minorEastAsia" w:hAnsiTheme="minorEastAsia" w:eastAsiaTheme="minorEastAsia" w:cstheme="minorEastAsia"/>
          <w:b/>
          <w:sz w:val="24"/>
          <w:highlight w:val="none"/>
          <w:lang w:bidi="en-US"/>
        </w:rPr>
      </w:pPr>
    </w:p>
    <w:p>
      <w:pPr>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br w:type="page"/>
      </w:r>
    </w:p>
    <w:p>
      <w:pPr>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表3 电仪专业检查要求表</w:t>
      </w:r>
    </w:p>
    <w:tbl>
      <w:tblPr>
        <w:tblStyle w:val="25"/>
        <w:tblW w:w="8938" w:type="dxa"/>
        <w:tblInd w:w="98" w:type="dxa"/>
        <w:tblLayout w:type="fixed"/>
        <w:tblCellMar>
          <w:top w:w="0" w:type="dxa"/>
          <w:left w:w="108" w:type="dxa"/>
          <w:bottom w:w="0" w:type="dxa"/>
          <w:right w:w="108" w:type="dxa"/>
        </w:tblCellMar>
      </w:tblPr>
      <w:tblGrid>
        <w:gridCol w:w="768"/>
        <w:gridCol w:w="1800"/>
        <w:gridCol w:w="3231"/>
        <w:gridCol w:w="715"/>
        <w:gridCol w:w="1062"/>
        <w:gridCol w:w="600"/>
        <w:gridCol w:w="762"/>
      </w:tblGrid>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工序描述</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步骤描述 </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人数</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专业（M：机械；E:电  仪）</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周期</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周期单位</w:t>
            </w:r>
          </w:p>
        </w:tc>
      </w:tr>
      <w:tr>
        <w:tblPrEx>
          <w:tblCellMar>
            <w:top w:w="0" w:type="dxa"/>
            <w:left w:w="108" w:type="dxa"/>
            <w:bottom w:w="0" w:type="dxa"/>
            <w:right w:w="108" w:type="dxa"/>
          </w:tblCellMar>
        </w:tblPrEx>
        <w:trPr>
          <w:trHeight w:val="35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滑线电缆检查、绑扎</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电缆不得有外伤、异常的弯曲或扭转、老化等缺陷，滑线电缆定期绑扎</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35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抓斗电缆检查</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电缆与抓斗的连接插头不得有松动；支承牛角配重两端不得有松动</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35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大小车限位开关检查</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大小车限位功能正常</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35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起升限位检查</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起升上、下限位功能正常</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6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检查、紧固控制箱内端子；</w:t>
            </w:r>
          </w:p>
        </w:tc>
        <w:tc>
          <w:tcPr>
            <w:tcW w:w="323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检查控制箱内开关、继电器、PLC模块运行正常，紧固控制箱内端子；</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35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检查滑线小车</w:t>
            </w:r>
          </w:p>
        </w:tc>
        <w:tc>
          <w:tcPr>
            <w:tcW w:w="323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检查大、小车中间滑车、头车有无变形、滑轮有无卡涩；</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6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检查大、小车行走电机</w:t>
            </w:r>
          </w:p>
        </w:tc>
        <w:tc>
          <w:tcPr>
            <w:tcW w:w="323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检查大、小车行走电机运行正常，无过流、无超温、无卡涩，制动抱闸动作可靠平顺。</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35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检查卷筒电缆</w:t>
            </w:r>
          </w:p>
        </w:tc>
        <w:tc>
          <w:tcPr>
            <w:tcW w:w="323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检查卷筒电缆有无损伤、无跳槽</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6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检查小车起升电机、冷却风机</w:t>
            </w:r>
          </w:p>
        </w:tc>
        <w:tc>
          <w:tcPr>
            <w:tcW w:w="323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检查小车起升电机运行正常，无过流、无超温、无卡涩，制动抱闸动作可靠平顺。冷却风机是完好；</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8"/>
                <w:szCs w:val="28"/>
                <w:highlight w:val="none"/>
              </w:rPr>
            </w:pPr>
            <w:r>
              <w:rPr>
                <w:rFonts w:hint="eastAsia" w:ascii="宋体" w:hAnsi="宋体" w:eastAsia="宋体" w:cs="宋体"/>
                <w:kern w:val="0"/>
                <w:sz w:val="28"/>
                <w:szCs w:val="28"/>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调整大车两侧安全门及限位开关位置，松动固定</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大车两侧安全门螺栓紧固无松动，搭扣是否良好，限位开关紧固调整</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测试行车遥控器功能是否正常和外观是否完好</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遥控器外观无破损、油污，功能是否良好可靠</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检查三相电源指示灯常亮、无闪烁</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断电检查三相电源接线紧固情况，电缆无破损，电源指示灯是否常亮完好、无闪烁情况</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13</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检查所有限位开关状态，进行必要的调整、润滑</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限位开关功能测试检查，有无异常，螺栓紧固情况是否良好，开盖检查调整及润滑部位润滑</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14</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检查行走机构声光报警装置工作状态</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检查大车行走机构声光报警装置工作状态是否良好，螺栓无松动</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检查起升高度、小车定位装置报警灯状态，必要时调</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起升高度限位是否良好无异常，警示灯状态是否良好，位置调整，螺栓紧固</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电柜风扇滤网更换</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滤网积灰严重、透气性不佳,每月例行更换</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月</w:t>
            </w:r>
          </w:p>
        </w:tc>
      </w:tr>
      <w:tr>
        <w:tblPrEx>
          <w:tblCellMar>
            <w:top w:w="0" w:type="dxa"/>
            <w:left w:w="108" w:type="dxa"/>
            <w:bottom w:w="0" w:type="dxa"/>
            <w:right w:w="108" w:type="dxa"/>
          </w:tblCellMar>
        </w:tblPrEx>
        <w:trPr>
          <w:trHeight w:val="22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17</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变频器历史故障查看</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变频器历史故障检查无异常、运行无噪声、输出波形正常（NCDRIVE软件）、电源电压波形正常（无尖峰脉冲和波形畸变）、电容器充放电合格、监控参数检查无异常，运行功能检查合格、使用pc联机检查DCLINK、数字I/O、模拟I/O、电源质量、输出波形质量、输入电流特性、输出电流特性、全轨道运行输出力矩畸变、通讯控制状态等技术手册中提及状态监控器历史故障检查、swp\starts\runtime\cycles\meanload\Brswp记录值分析、通过PC联 机检测高低速转换保护功能、数字I/O、模拟I/O状态、CANBUS通讯质量等技术手册中提及的其他监控点</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月</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18</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监控器历史故障查看</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月</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19</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检查主开关触点动作情况是否良好</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接触器;运行噪音检查、Rc保护功能检查、功率控制触点抽查、线圈温升检查、衔铁状态检查、通过CONTROLPRO检查开关次数统计及寿命分析</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月</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20</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检查激光定位装置定位是否准确，松动螺栓紧固</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激光定位装置是否固定牢固，位置有无变化需调整</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月</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21</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检查主钩起升机构电机运行状态</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马达:马达绝缘合格1000v测试、绕组电阻合格、绕组电阻对称、电机运行无震动噪音、固定螺栓力矩合格、高低速转换平滑无冲击、制动可靠无冲击、高低速电流正常</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22</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检查副钩起升机构电机运行状态</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马达:马达绝缘合格1000v测试、绕组电阻合格、绕组电阻对称、电机运行无震动噪音、固定螺栓力矩合格、高低速转换平滑无冲击、制动可靠无冲击、高低速电流正常无冲击、高低速电流正常</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23</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检查主钩载荷装置,如超差10%,则调节</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吊装测试已知重量负载，查看监控器吨位显示，负载吨位误差需在10%范围内，如误差过大需按监控器手操重新标定负载</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24</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检查副钩载荷装置,如超差10%,则调节</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吊装测试已知重量负载，查看监控器吨位显示，负载吨位误差需在10%范围内，如误差过大需按监控器手操重新标定负载</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25</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检查限位开关档杆状态</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大小车行走限位开关限位撞杆:运行测试灵敏度、运行测试触面位置、运行测试复位功能、转轴润滑检查、内部触点测试、接线检查</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26</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滑线小车导轨涂抹润滑油</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滑线小车导轨涂抹润滑油</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3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27</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检查清理小车滑环和炭刷</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检查小车滑环和炭刷磨损情况，清理滑环和炭刷积灰。</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季度</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28</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检查大车导电排和集电器的状态</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集电器/滑线外壳无破损受伤、集电器电刷磨损量正常、磨损量均匀、滑线磨损量正常、滑线固定可靠、滑线水平度正常、间距正常、连接端可靠、绝缘处理合理、绝缘测试合格1000v</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半年</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29</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检查照明灯安装是否牢固，固定支架是否松动或脱</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照明/报警/电源指示灯功能可靠、报警声响功能正常、接线可靠、固定可靠</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半年</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30</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变频器PC联机监控运行，参数下载比较</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使用pc联机检查DCLINK、数字I/O、模拟I/O、电源质量、输出波形质量、输入电流特性、输出电流特性、全轨道运行输出力矩畸变、通讯控制状态等技术手册中提及的其他监控点</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半年</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31</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电控柜内接触器端子螺栓紧固</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接触器通过Controlpro监控无超寿命使用、吸合后无噪声、表面清洁、负载电流正常，接线端子拧紧力矩可靠，RC吸收电路运行可靠、接线端子力矩检查、过载保护设置核对、开关性能测试、触点性能检查</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半年</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32</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检查电控柜内线排状况</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控制箱箱体固定可靠、周边布线走线安全可靠、防护等级未遭破坏、柜内无积水积尘、接线端子力矩合格、布线整齐美观</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半年</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33</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所有电机三相对地、相间绝缘阻值测量大于1兆欧</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摇表1000V测量电机相间、相地绝缘，阻值大于1兆欧</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3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34</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大车与小车之间接地电阻测量小于4欧姆</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摇表测量大车与小车间接地电阻，阻值小于4欧姆</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3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35</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大车与立柱钢梁之间接地电阻小于4欧姆</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摇表测量大车与立柱间接地电阻，阻值小于4欧姆</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36</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备份所有的程序</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包括但不限于PLC、变频器、环网交换机的配置文件，这点非常重要， 一旦设备损坏，将没有参数导致设备长期停机</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3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37</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MUI系统分析</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查看运行数据与历史故障，进行分析记录</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3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38</w:t>
            </w:r>
          </w:p>
        </w:tc>
        <w:tc>
          <w:tcPr>
            <w:tcW w:w="1800"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变频器B卡、C卡等检查</w:t>
            </w:r>
          </w:p>
        </w:tc>
        <w:tc>
          <w:tcPr>
            <w:tcW w:w="3231"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查看运行数据与历史故障，进行分析记录</w:t>
            </w:r>
          </w:p>
        </w:tc>
        <w:tc>
          <w:tcPr>
            <w:tcW w:w="71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E</w:t>
            </w:r>
          </w:p>
        </w:tc>
        <w:tc>
          <w:tcPr>
            <w:tcW w:w="600"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76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bl>
    <w:p>
      <w:pPr>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表2 机务专业检查要求表</w:t>
      </w:r>
    </w:p>
    <w:tbl>
      <w:tblPr>
        <w:tblStyle w:val="25"/>
        <w:tblW w:w="8948" w:type="dxa"/>
        <w:tblInd w:w="98" w:type="dxa"/>
        <w:tblLayout w:type="autofit"/>
        <w:tblCellMar>
          <w:top w:w="0" w:type="dxa"/>
          <w:left w:w="108" w:type="dxa"/>
          <w:bottom w:w="0" w:type="dxa"/>
          <w:right w:w="108" w:type="dxa"/>
        </w:tblCellMar>
      </w:tblPr>
      <w:tblGrid>
        <w:gridCol w:w="768"/>
        <w:gridCol w:w="1777"/>
        <w:gridCol w:w="3012"/>
        <w:gridCol w:w="853"/>
        <w:gridCol w:w="1073"/>
        <w:gridCol w:w="647"/>
        <w:gridCol w:w="818"/>
      </w:tblGrid>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工序描述</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 xml:space="preserve">步骤描述 </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人数</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专业（M：机械；E:电  仪）</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周期</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周期单位</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检查大车机构电机运行状态及制动器功能</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大车运行马达无异响，制动器打开状态是否良好，无异常</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检查小车机构电机运行状态及制动器功能</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小车运行马达无异响，制动器打开状态是否良好，无异常</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主钩起升机构制动器功能、刹车片厚度及间隙</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起升马达运行无异响，制动器打开状态是否良好，刹车片厚度测量间隙调整</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副钩起升机构制动器功能、刹车片厚度及间隙</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起升马达运行无异响，制动器打开状态是否良好，刹车片厚度测量间隙调整</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行车主梁及走台5S</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行车走台及主梁无异物，定期进行5S清洁</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检查主钩钢丝绳磨损及一个截距内断丝数量  </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全程断丝断股检查、外径测量、松股及其他形变检查、表面润滑、终端固定力矩检查、卷筒余量钢绳检查、特殊环境钢绳表面附着物分析、渗透物质分析、灼伤电击损伤检查钢丝绳:全程断丝断股检查、外径测量、松股及其他形变检查、表面润</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检查副钩钢丝绳磨损及一个截距内断丝数量  </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滑、终端固定力矩检查、卷筒余量钢绳检查、特殊环境钢绳表面附着物分析、渗透物质分析、灼伤电击损伤检查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间隔1米测量钢丝绳直径，直径变细不小于7%</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钢丝绳直径:游标卡尺或螺旋测微仪测量圆周最大值最小值、多点测量取最大值最小值、依据KC标准规定的其他测量</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40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目视检查钢丝绳无扭曲、变形</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全程断丝断股检查、外径测量、松股及其他形变检查、表面润滑、终端固定力矩检查、卷筒余量钢绳检查、特殊环境钢绳表面附着物分析、渗透物质分析、灼伤电击损伤检查钢丝绳:全程断丝断股检查、外径测量、松股及其他形变检查、表面润分析、渗透物质分析、灼伤电击损伤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检查主钩起升电机与齿轮箱橡胶弹性联轴器状态</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电机运行状态良好无异响，固定螺栓无松动弹性联轴器无损坏</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检查副钩起升电机与齿轮箱橡胶弹性联轴器状态</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电机运行状态良好无异响，固定螺栓无松动弹性联轴器无损坏</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齿轮油品质、油量、密封性能检查，安装螺栓力矩</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齿轮箱不漏油、油品质合格、固定螺栓无松动、油位观察合格</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13</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检查小车的挂缆及各挂缆小车运行、固定情况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挂缆运行小车滑动流畅、挂缆弯曲处无破损漏电、电缆布线长度合适、无过短过长现象、电缆与周边设备无冲突无刮擦隐患、挂缆小车滑动流畅、轮子润滑可靠、牵引链条设置合理、终端防脱措施合格</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14</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主钩起升制动器力矩查看，预留冲程距离调整</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起升制动片 :响应时间测量分析、表面磨损检查、厚度寿命预估、异常现象分析解决、轴向滑动状态检查、制动盘磨损检查、双电机制动片磨损均衡性分析、双电机制动器动作同步性分析，预留冲程距离范围安全、可靠</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15</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副钩起升制动器力矩查看，预留冲程距离调整</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起升制动片 :响应时间测量分析、表面磨损检查、厚度寿命预估、异常现象分析解决、轴向滑动状态检查、制动盘磨损检查、双电机制动片磨损均衡性分析、双电机制动器动作同步性分析，预留冲程距离范围在8-</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16</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检查大车防撞机构状态并模拟测试</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防撞装置设置可靠、无松动、机械防撞弹性可靠、光电开关性能模拟测试、感应距离运行测试、反光板安装固定检查、反光板表面反光性能检查、发射信号对中效果测试、开关安装固定检查、布线检查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17</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检查主钩吊钩附件状态及紧固情况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吊钩和安全卡: 安全卡性能检查、弹簧的性能检查、弹簧表面锈蚀检查、弹性形变检查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18</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检查副钩吊钩附件状态及紧固情况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吊钩和安全卡: 安全卡性能检查、弹簧的性能检查、弹簧表面锈蚀检查、弹性形变检查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19</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检查副钩起升机构固定螺栓的紧固情况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与起升机构的连接:连接部位的运行状况分析、连接部位的磨损状况分析、定位部件的位移检查、锁定螺栓的力矩检查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20</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检查主钩起升机构固定螺栓的紧固情况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与起升机构的连接:连接部位的运行状况分析、连接部位的磨损状况分析、定位部件的位移检查、锁定螺栓的力矩检查</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21</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检查大车行走机构的紧固情况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车轮固定螺栓检查无松动、踏面磨损情况检查、轮缘磨损检查、轴承有无异响</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22</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检查小车行走机构的紧固情况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车轮固定螺栓检查无松动、踏面磨损情况检查、轮缘磨损检查、轴承有无异响</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23</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地面电源箱状态查看</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地面电源箱电压显示正常，断电开关工作状态正常，锁定机构可有效锁定。</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24</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行车主钩吊环磨损、开口销状态</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吊环和开口销: 吊环表面锈蚀检查、危险断面磨损量测量、吊环开口销是否失效变形，开口销为一次性用品，每次取出后需即时更换</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25</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检查大车轨道情况，压板螺栓松动固定</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轨道固定螺栓力矩合格，接口间隙合格，止挡块正常</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26</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大车制动器刹车片及花键磨损情况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响应时间测量分析、表面磨损检查、厚度寿命检查、异常现象分析解决、轴向滑动状态检查、内齿磨损检查、双电机制动片磨损均衡性分析、双电机制动器动作同步性分析</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27</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小车制动器刹车片及花键磨损情况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响应时间测量分析、表面磨损检查、厚度寿命检查、异常现象分析解决、轴向滑动状态检查、内齿磨损检查、双电机制动片磨损均衡性分析、双电机制动器动作同步性分析双电机制动器动作同步性分析</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12</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28</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检查主钩吊钩磨损及开口度变化</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吊钩和安全卡: 安全卡性能检查、弹簧的性能检查、弹簧表面锈蚀检查、弹性形变检查、钩头断面磨损超10%、开口度超出原尺寸10%，尖端扭转超过10°、吊环开口销是否失效变形</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24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周</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29</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检查副钩吊钩磨损及开口度变化</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吊钩和安全卡: 安全卡性能检查、弹簧的性能检查、弹簧表面锈蚀检查、弹性形变检查、钩头断面磨损超10%、开口度超出原尺寸10%，尖端扭转超过10°、吊环开口销是否失效变形转超过10°、吊环开口销是否失效变形</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周</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30</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检查主钩吊钩轴向间隙</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测量吊钩外露芯轴间距，外露芯轴直径测量，磨损量不超过5%</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周</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31</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检查副钩吊钩轴向间隙</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测量吊钩外露芯轴间距，外露芯轴直径测量，磨损量不超过5%</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周</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32</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各机构润滑点润滑</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各机构润滑点润滑、无缺油变质现象、油嘴是否完好损坏</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周</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33</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检查大小车行走车轮磨损情况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轮面磨损检查、轮缘磨损检查、轴承检查润滑、固定螺栓力矩检查、安装端位移、轴向位移检查、轮面圆整度测量、轮面轨面平直度测量、车轮安装垂直度检查、多轮同步性能监测、多轮水平度检测</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24</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周</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34</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检查主钩钢丝绳卷筒绳槽磨损情况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卷筒齿面齿峰齿距测量、绳槽材质变异检查(裂痕砂眼沟槽)、绳槽表面磨损分析、卷筒齿轮润滑</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35</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检查副钩钢丝绳卷筒绳槽磨损情况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卷筒齿面齿峰齿距测量、绳槽材质变异检查(裂痕砂眼沟槽)、绳槽表面磨损分析、卷筒齿轮润滑</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11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36</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检查滑轮组是否完好，转动自如</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检查吊钩动滑轮组旋转性能、检查吊钩滑轮组润滑、固定螺栓力矩检查、滑轮组表面磨损状况检查、穿绳方式检查、滑轮组轴承检查、轴承润滑、同心轴的磨损状况、轴的终端固定检查、吊钩旋转性能检查、滑轮组材质变异状况检查分析(裂痕砂眼沟槽)</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5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37</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检查小车轨道情况</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轨道固定螺栓力矩合格、水平度、间距误差、单条平直度、接口间隙合格，止挡块正常</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8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38</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检查行车钢结构固定螺丝是否松动</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检查钢结构形变、受力部件的结构形变、焊接部位的状况分析、大梁连接螺栓力矩合格偏移角度正常、锁紧力矩检查、止退部件功能检查、定位标记检查、螺栓防锈检查或处理</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r>
        <w:tblPrEx>
          <w:tblCellMar>
            <w:top w:w="0" w:type="dxa"/>
            <w:left w:w="108" w:type="dxa"/>
            <w:bottom w:w="0" w:type="dxa"/>
            <w:right w:w="108" w:type="dxa"/>
          </w:tblCellMar>
        </w:tblPrEx>
        <w:trPr>
          <w:trHeight w:val="2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39</w:t>
            </w:r>
          </w:p>
        </w:tc>
        <w:tc>
          <w:tcPr>
            <w:tcW w:w="1777"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更换齿轮箱润滑油</w:t>
            </w:r>
          </w:p>
        </w:tc>
        <w:tc>
          <w:tcPr>
            <w:tcW w:w="3012" w:type="dxa"/>
            <w:tcBorders>
              <w:top w:val="single" w:color="000000" w:sz="4" w:space="0"/>
              <w:left w:val="single" w:color="000000" w:sz="4" w:space="0"/>
              <w:bottom w:val="single" w:color="000000" w:sz="4" w:space="0"/>
              <w:right w:val="single" w:color="000000" w:sz="4" w:space="0"/>
            </w:tcBorders>
            <w:shd w:val="clear" w:color="auto" w:fill="auto"/>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油脂变质，缺少、定期补油及更换油脂</w:t>
            </w:r>
          </w:p>
        </w:tc>
        <w:tc>
          <w:tcPr>
            <w:tcW w:w="85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4</w:t>
            </w:r>
          </w:p>
        </w:tc>
        <w:tc>
          <w:tcPr>
            <w:tcW w:w="1073"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sz w:val="22"/>
                <w:szCs w:val="22"/>
                <w:highlight w:val="none"/>
              </w:rPr>
            </w:pPr>
            <w:r>
              <w:rPr>
                <w:rFonts w:hint="eastAsia" w:ascii="宋体" w:hAnsi="宋体" w:eastAsia="宋体" w:cs="宋体"/>
                <w:kern w:val="0"/>
                <w:sz w:val="22"/>
                <w:szCs w:val="22"/>
                <w:highlight w:val="none"/>
              </w:rPr>
              <w:t>M</w:t>
            </w:r>
          </w:p>
        </w:tc>
        <w:tc>
          <w:tcPr>
            <w:tcW w:w="647"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3</w:t>
            </w:r>
          </w:p>
        </w:tc>
        <w:tc>
          <w:tcPr>
            <w:tcW w:w="8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b/>
                <w:bCs/>
                <w:sz w:val="22"/>
                <w:szCs w:val="22"/>
                <w:highlight w:val="none"/>
              </w:rPr>
            </w:pPr>
            <w:r>
              <w:rPr>
                <w:rFonts w:hint="eastAsia" w:ascii="宋体" w:hAnsi="宋体" w:eastAsia="宋体" w:cs="宋体"/>
                <w:b/>
                <w:bCs/>
                <w:kern w:val="0"/>
                <w:sz w:val="22"/>
                <w:szCs w:val="22"/>
                <w:highlight w:val="none"/>
              </w:rPr>
              <w:t>年</w:t>
            </w:r>
          </w:p>
        </w:tc>
      </w:tr>
    </w:tbl>
    <w:p>
      <w:pPr>
        <w:adjustRightInd w:val="0"/>
        <w:snapToGrid w:val="0"/>
        <w:ind w:left="241" w:hanging="241" w:hangingChars="100"/>
        <w:rPr>
          <w:rFonts w:asciiTheme="minorEastAsia" w:hAnsiTheme="minorEastAsia" w:eastAsiaTheme="minorEastAsia" w:cstheme="minorEastAsia"/>
          <w:b/>
          <w:sz w:val="24"/>
          <w:highlight w:val="none"/>
          <w:lang w:bidi="en-US"/>
        </w:rPr>
      </w:pPr>
    </w:p>
    <w:p>
      <w:pPr>
        <w:adjustRightInd w:val="0"/>
        <w:snapToGrid w:val="0"/>
        <w:ind w:left="241" w:hanging="241" w:hangingChars="100"/>
        <w:rPr>
          <w:rFonts w:asciiTheme="minorEastAsia" w:hAnsiTheme="minorEastAsia" w:eastAsiaTheme="minorEastAsia" w:cstheme="minorEastAsia"/>
          <w:b/>
          <w:sz w:val="24"/>
          <w:highlight w:val="none"/>
          <w:lang w:bidi="en-US"/>
        </w:rPr>
      </w:pPr>
    </w:p>
    <w:p>
      <w:pPr>
        <w:adjustRightInd w:val="0"/>
        <w:snapToGrid w:val="0"/>
        <w:ind w:left="241" w:hanging="241" w:hangingChars="100"/>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三固运行中心</w:t>
      </w:r>
    </w:p>
    <w:p>
      <w:pPr>
        <w:adjustRightInd w:val="0"/>
        <w:snapToGrid w:val="0"/>
        <w:ind w:left="241" w:hanging="241" w:hangingChars="100"/>
        <w:rPr>
          <w:rFonts w:asciiTheme="minorEastAsia" w:hAnsiTheme="minorEastAsia" w:eastAsiaTheme="minorEastAsia" w:cstheme="minorEastAsia"/>
          <w:b/>
          <w:sz w:val="24"/>
          <w:highlight w:val="none"/>
          <w:lang w:bidi="en-US"/>
        </w:rPr>
      </w:pPr>
      <w:r>
        <w:rPr>
          <w:rFonts w:hint="eastAsia" w:asciiTheme="minorEastAsia" w:hAnsiTheme="minorEastAsia" w:eastAsiaTheme="minorEastAsia" w:cstheme="minorEastAsia"/>
          <w:b/>
          <w:sz w:val="24"/>
          <w:highlight w:val="none"/>
          <w:lang w:bidi="en-US"/>
        </w:rPr>
        <w:t>表4 维护保养周期</w:t>
      </w:r>
    </w:p>
    <w:tbl>
      <w:tblPr>
        <w:tblStyle w:val="25"/>
        <w:tblW w:w="8636" w:type="dxa"/>
        <w:tblInd w:w="96" w:type="dxa"/>
        <w:tblLayout w:type="fixed"/>
        <w:tblCellMar>
          <w:top w:w="0" w:type="dxa"/>
          <w:left w:w="108" w:type="dxa"/>
          <w:bottom w:w="0" w:type="dxa"/>
          <w:right w:w="108" w:type="dxa"/>
        </w:tblCellMar>
      </w:tblPr>
      <w:tblGrid>
        <w:gridCol w:w="786"/>
        <w:gridCol w:w="1345"/>
        <w:gridCol w:w="1172"/>
        <w:gridCol w:w="1549"/>
        <w:gridCol w:w="1631"/>
        <w:gridCol w:w="717"/>
        <w:gridCol w:w="669"/>
        <w:gridCol w:w="767"/>
      </w:tblGrid>
      <w:tr>
        <w:tblPrEx>
          <w:tblCellMar>
            <w:top w:w="0" w:type="dxa"/>
            <w:left w:w="108" w:type="dxa"/>
            <w:bottom w:w="0" w:type="dxa"/>
            <w:right w:w="108" w:type="dxa"/>
          </w:tblCellMar>
        </w:tblPrEx>
        <w:trPr>
          <w:trHeight w:val="1228"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序号</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名称</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品牌/厂家</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型号</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维保内容</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单位</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数量</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数量（台）</w:t>
            </w: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双梁行车</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河南卫华</w:t>
            </w:r>
          </w:p>
        </w:tc>
        <w:tc>
          <w:tcPr>
            <w:tcW w:w="1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QZLY10t-16.5m  A7</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月度维护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8</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r>
      <w:tr>
        <w:tblPrEx>
          <w:tblCellMar>
            <w:top w:w="0" w:type="dxa"/>
            <w:left w:w="108" w:type="dxa"/>
            <w:bottom w:w="0" w:type="dxa"/>
            <w:right w:w="108" w:type="dxa"/>
          </w:tblCellMar>
        </w:tblPrEx>
        <w:trPr>
          <w:trHeight w:val="321"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2</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季度维护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2</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619"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3</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半年度维护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4</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年度维护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5</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单梁行车</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河南卫华</w:t>
            </w:r>
          </w:p>
        </w:tc>
        <w:tc>
          <w:tcPr>
            <w:tcW w:w="1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LD3t-18m A4</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月度维护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11</w:t>
            </w:r>
          </w:p>
        </w:tc>
        <w:tc>
          <w:tcPr>
            <w:tcW w:w="767" w:type="dxa"/>
            <w:vMerge w:val="restart"/>
            <w:tcBorders>
              <w:top w:val="nil"/>
              <w:left w:val="single" w:color="000000" w:sz="4" w:space="0"/>
              <w:bottom w:val="nil"/>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2</w:t>
            </w: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6</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年度维护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767" w:type="dxa"/>
            <w:vMerge w:val="continue"/>
            <w:tcBorders>
              <w:top w:val="nil"/>
              <w:left w:val="single" w:color="000000" w:sz="4" w:space="0"/>
              <w:bottom w:val="nil"/>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7</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LD5t-15.5m  A4</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月度维护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11</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r>
      <w:tr>
        <w:tblPrEx>
          <w:tblCellMar>
            <w:top w:w="0" w:type="dxa"/>
            <w:left w:w="108" w:type="dxa"/>
            <w:bottom w:w="0" w:type="dxa"/>
            <w:right w:w="108" w:type="dxa"/>
          </w:tblCellMar>
        </w:tblPrEx>
        <w:trPr>
          <w:trHeight w:val="321"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8</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年度维护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9</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液压抓斗</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上海佩纳</w:t>
            </w:r>
          </w:p>
        </w:tc>
        <w:tc>
          <w:tcPr>
            <w:tcW w:w="1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MMGL2000-4</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每周一次</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42</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2</w:t>
            </w:r>
          </w:p>
        </w:tc>
      </w:tr>
      <w:tr>
        <w:tblPrEx>
          <w:tblCellMar>
            <w:top w:w="0" w:type="dxa"/>
            <w:left w:w="108" w:type="dxa"/>
            <w:bottom w:w="0" w:type="dxa"/>
            <w:right w:w="108" w:type="dxa"/>
          </w:tblCellMar>
        </w:tblPrEx>
        <w:trPr>
          <w:trHeight w:val="619"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10</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每1000小时</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9</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11</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每年一次</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31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12</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电动葫芦</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河南卫华</w:t>
            </w:r>
          </w:p>
        </w:tc>
        <w:tc>
          <w:tcPr>
            <w:tcW w:w="1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1T—2T</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月度维护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11</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6</w:t>
            </w:r>
          </w:p>
        </w:tc>
      </w:tr>
      <w:tr>
        <w:tblPrEx>
          <w:tblCellMar>
            <w:top w:w="0" w:type="dxa"/>
            <w:left w:w="108" w:type="dxa"/>
            <w:bottom w:w="0" w:type="dxa"/>
            <w:right w:w="108" w:type="dxa"/>
          </w:tblCellMar>
        </w:tblPrEx>
        <w:trPr>
          <w:trHeight w:val="324"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13</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val="0"/>
              <w:snapToGrid w:val="0"/>
              <w:jc w:val="center"/>
              <w:rPr>
                <w:rFonts w:asciiTheme="minorEastAsia" w:hAnsiTheme="minorEastAsia" w:eastAsiaTheme="minorEastAsia" w:cstheme="minorEastAsia"/>
                <w:sz w:val="24"/>
                <w:highlight w:val="none"/>
              </w:rPr>
            </w:pPr>
          </w:p>
        </w:tc>
        <w:tc>
          <w:tcPr>
            <w:tcW w:w="1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年度维护</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次</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1</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heme="minorEastAsia" w:hAnsiTheme="minorEastAsia" w:eastAsiaTheme="minorEastAsia" w:cstheme="minorEastAsia"/>
                <w:sz w:val="24"/>
                <w:highlight w:val="none"/>
              </w:rPr>
            </w:pPr>
          </w:p>
        </w:tc>
      </w:tr>
    </w:tbl>
    <w:p>
      <w:pPr>
        <w:wordWrap w:val="0"/>
        <w:adjustRightInd w:val="0"/>
        <w:snapToGrid w:val="0"/>
        <w:spacing w:beforeLines="50"/>
        <w:ind w:firstLine="480" w:firstLineChars="200"/>
        <w:outlineLvl w:val="1"/>
        <w:rPr>
          <w:rFonts w:asciiTheme="minorEastAsia" w:hAnsiTheme="minorEastAsia" w:eastAsiaTheme="minorEastAsia" w:cstheme="minorEastAsia"/>
          <w:sz w:val="24"/>
          <w:highlight w:val="none"/>
        </w:rPr>
      </w:pPr>
    </w:p>
    <w:p>
      <w:pPr>
        <w:pStyle w:val="2"/>
        <w:adjustRightInd w:val="0"/>
        <w:spacing w:line="24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行车各项目保养内容</w:t>
      </w:r>
    </w:p>
    <w:p>
      <w:pPr>
        <w:adjustRightInd w:val="0"/>
        <w:snapToGrid w:val="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表5 双梁行车月维修维保内容</w:t>
      </w:r>
    </w:p>
    <w:tbl>
      <w:tblPr>
        <w:tblStyle w:val="25"/>
        <w:tblW w:w="8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2100"/>
        <w:gridCol w:w="5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310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w:t>
            </w: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1、运行范围内障碍物</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w w:val="90"/>
                <w:sz w:val="24"/>
                <w:highlight w:val="none"/>
              </w:rPr>
            </w:pPr>
            <w:r>
              <w:rPr>
                <w:rFonts w:hint="eastAsia" w:asciiTheme="minorEastAsia" w:hAnsiTheme="minorEastAsia" w:eastAsiaTheme="minorEastAsia" w:cstheme="minorEastAsia"/>
                <w:sz w:val="24"/>
                <w:highlight w:val="none"/>
              </w:rPr>
              <w:t>运行范围内与建筑物及其他设备的最小距离应不小于100mm。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2、轨道端部止挡及连接螺栓或焊缝</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轨道端部止挡不准有变形，破损等缺陷，其连接螺栓不得松动。采用焊接连接焊缝不得有裂纹。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3、固定轨道的连接螺栓</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按钮</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1、外观</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外观及绝缘物不得有损伤。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2、悬挂电缆</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电缆上、下两端固定应牢固可靠不得有破损、断线等缺陷，须保证绝缘。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0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电磁接触器</w:t>
            </w: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动作状态</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触点的接触和打开动作应灵敏，不得粘连。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0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起升限位器</w:t>
            </w: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动作状态</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动作灵敏可靠，应调节到吊钩在上升限位时吊钩装置最高点与卷筒间距离不小于50mm。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1、吊钩</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目测不得有裂纹、异常磨损和钩口异常变形。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2、轴承</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回转应灵活、平滑。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3、吊钩螺母</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锁紧装置不得有松动。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4、滑轮</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滑轮槽不得有异常磨损，轮缘完整，不得有损伤。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5、外观</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滑轮罩壳不得有磨损，挡轴板、挡圈及销不得有松动，钩口闭锁装置应正常。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w:t>
            </w: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1、绳端固定状态</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钢丝绳各尾端固定应牢固可靠，不得有异常。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10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2、外观</w:t>
            </w:r>
          </w:p>
        </w:tc>
        <w:tc>
          <w:tcPr>
            <w:tcW w:w="563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不得有扭结、灼伤及明显的松散、腐蚀等缺陷，绳上应有润滑油脂。</w:t>
            </w:r>
          </w:p>
        </w:tc>
      </w:tr>
    </w:tbl>
    <w:p>
      <w:pPr>
        <w:adjustRightInd w:val="0"/>
        <w:snapToGrid w:val="0"/>
        <w:rPr>
          <w:rFonts w:asciiTheme="minorEastAsia" w:hAnsiTheme="minorEastAsia" w:eastAsiaTheme="minorEastAsia" w:cstheme="minorEastAsia"/>
          <w:b/>
          <w:bCs/>
          <w:sz w:val="24"/>
          <w:highlight w:val="none"/>
        </w:rPr>
      </w:pPr>
    </w:p>
    <w:p>
      <w:pPr>
        <w:adjustRightInd w:val="0"/>
        <w:snapToGrid w:val="0"/>
        <w:ind w:left="-547" w:leftChars="-171" w:firstLine="482" w:firstLineChars="20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表6   双梁行车季度维修维保内容</w:t>
      </w:r>
    </w:p>
    <w:p>
      <w:pPr>
        <w:adjustRightInd w:val="0"/>
        <w:snapToGrid w:val="0"/>
        <w:rPr>
          <w:rFonts w:asciiTheme="minorEastAsia" w:hAnsiTheme="minorEastAsia" w:eastAsiaTheme="minorEastAsia" w:cstheme="minorEastAsia"/>
          <w:sz w:val="24"/>
          <w:highlight w:val="none"/>
        </w:rPr>
      </w:pPr>
    </w:p>
    <w:tbl>
      <w:tblPr>
        <w:tblStyle w:val="25"/>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2785"/>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79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1、运行范围内障碍物</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运行范围内与建筑物及其他设备的最小间距应不小于100mm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2、轨道端部止挡及连接螺栓或焊缝</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轨道端部止挡不准有变形，破损等缺陷，其连接螺栓不得松动。采用焊接连接焊缝不得有裂纹。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3、固定轨道的连接螺栓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外观及绝缘物不得有损伤。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2、悬挂电缆</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电缆上、下两端固定应牢固可靠不得有破损、断线等缺陷，须保证绝缘。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电磁接触器</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1、动作状态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触点的接触和打开动作应灵敏，不得粘连。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不得有严重磨损及磨耗。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起升限位器</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动作灵敏可靠，应调节到吊钩在上升限位时吊钩装置最高点与卷筒间距离不小于50mm。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不得有外伤，异常的弯曲或扭转，老化等缺陷。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装配状况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电缆与开关的连接不得有松动，吊线环不得脱离滑道，支撑钢丝两端不得有松动。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1、吊钩</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目测不得有裂纹、异常磨损和钩口异常变形。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2、轴承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回转应灵活、平滑。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3、吊钩螺母</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锁紧装置不得有松动。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4、滑轮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滑轮槽不得有异常磨损，轮缘完整，不得有损伤。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滑轮罩壳不得有磨损，挡轴板、挡圈及销不得有松动，钩口闭锁装置应正常。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制动器</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起升机构的制动环或制动片</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锥形制动磨损量不得大于原厚度的50%，且不大于轴向调整量的最大值。制动片的磨损不大于原厚度的50%。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1、绳端固定状态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钢丝绳各尾端固定应牢固可靠，不得有异常。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不得有扭结、灼伤及明显的松散、腐蚀等缺陷，绳上应有润滑油脂。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79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齿轮油状况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开式齿轮表面应定期加油脂，闭式齿轮应定期加机油。</w:t>
            </w:r>
          </w:p>
        </w:tc>
      </w:tr>
    </w:tbl>
    <w:p>
      <w:pPr>
        <w:adjustRightInd w:val="0"/>
        <w:snapToGrid w:val="0"/>
        <w:rPr>
          <w:rFonts w:asciiTheme="minorEastAsia" w:hAnsiTheme="minorEastAsia" w:eastAsiaTheme="minorEastAsia" w:cstheme="minorEastAsia"/>
          <w:b/>
          <w:bCs/>
          <w:sz w:val="24"/>
          <w:highlight w:val="none"/>
        </w:rPr>
      </w:pPr>
    </w:p>
    <w:p>
      <w:pPr>
        <w:adjustRightInd w:val="0"/>
        <w:snapToGrid w:val="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表7   双梁行车半年维修维保内容</w:t>
      </w:r>
    </w:p>
    <w:tbl>
      <w:tblPr>
        <w:tblStyle w:val="25"/>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0"/>
        <w:gridCol w:w="2785"/>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794"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pacing w:val="-12"/>
                <w:sz w:val="24"/>
                <w:highlight w:val="none"/>
              </w:rPr>
            </w:pPr>
            <w:r>
              <w:rPr>
                <w:rFonts w:hint="eastAsia" w:asciiTheme="minorEastAsia" w:hAnsiTheme="minorEastAsia" w:eastAsiaTheme="minorEastAsia" w:cstheme="minorEastAsia"/>
                <w:spacing w:val="-12"/>
                <w:sz w:val="24"/>
                <w:highlight w:val="none"/>
              </w:rPr>
              <w:t>1、运行范围内障碍物</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运行范围内与建筑物及其他设备的最小间距应不小于100mm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2、轨道端部止挡及连接螺栓或焊缝</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轨道端部止挡不准有变形，破损等缺陷，其连接螺栓不得松动。采用焊接连接焊缝不得有裂纹。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3、固定轨道的连接螺栓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4、轨道接头焊缝</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焊缝不得有裂纹等缺陷。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外观及绝缘物不得有损伤。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2、悬挂电缆</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电缆上、下两端固定应牢固可靠不得有破损、断线等缺陷，须保证绝缘。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触点不得有严重磨损。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4、接线及接地</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接线应牢固可靠，连接螺栓不得有松动。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电磁接触器</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1、动作状态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触点的接触和打开动作应灵敏，不得粘连。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2、接地螺栓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不得有严重磨损及磨耗。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起升限位器</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1、动作状态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动作灵敏可靠，应调节到吊钩在上升限位时吊钩装置最高点与卷筒间距离不小于50mm。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动作准确、灵敏，不得有损伤及严重磨损。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3、接地螺栓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794"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    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滑线不得有严重锈蚀和油垢，支撑安装应牢固，滑线不得有明显的下挠。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不得有外伤，异常的弯曲或扭转，老化等缺陷。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2、装配状况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电缆与开关的连接不得有松动，吊线环不得脱离滑道，支撑钢丝两端不得有松动。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1、吊钩</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目测不得有裂纹、异常磨损和钩口异常变形。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2、轴承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回转应灵活、平滑。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3、吊钩螺母</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锁紧装置不得有松动。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4、滑轮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滑轮槽不得有异常磨损，轮缘完整，不得有损伤。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滑轮罩壳不得有磨损，挡轴板、挡圈及销不得有松动，钩口闭锁装置应正常。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制动器</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1、起升机构的制动环或制动片</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锥形制动磨损量不得大于原厚度的50%，且不大于轴向调整量的最大值。制动片的磨损不大于原厚度的50%。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2、运行机构的平面制动环</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平面制动环的磨损量不大于原厚度的50%。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3、制动环的外观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制动环的外观不得有裂纹和损伤。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1、墙板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2、车轮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踏面和轮缘不得有异常磨损和伤痕。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1、绳端固定状态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钢丝绳各尾端固定应牢固可靠，不得有异常。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不得有扭结、灼伤及明显的松散、腐蚀等缺陷，绳上应有润滑油脂。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w:t>
            </w: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1、工作状况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集电器轮回转应灵活，不得有明显磨损。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0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Theme="minorEastAsia" w:hAnsiTheme="minorEastAsia" w:eastAsiaTheme="minorEastAsia" w:cstheme="minorEastAsia"/>
                <w:sz w:val="24"/>
                <w:highlight w:val="none"/>
              </w:rPr>
            </w:pPr>
          </w:p>
        </w:tc>
        <w:tc>
          <w:tcPr>
            <w:tcW w:w="2785"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连接螺栓不得有松动，绝缘体不得松动和破损，弹簧不得失去弹性。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794"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齿轮油状况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开式齿轮表面应定期加油脂，闭式齿轮应定期加机油。</w:t>
            </w:r>
          </w:p>
        </w:tc>
      </w:tr>
    </w:tbl>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表8  行车年维修维保内容</w:t>
      </w:r>
    </w:p>
    <w:tbl>
      <w:tblPr>
        <w:tblStyle w:val="25"/>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786"/>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79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pacing w:val="-12"/>
                <w:sz w:val="24"/>
                <w:highlight w:val="none"/>
              </w:rPr>
            </w:pPr>
            <w:r>
              <w:rPr>
                <w:rFonts w:hint="eastAsia" w:asciiTheme="minorEastAsia" w:hAnsiTheme="minorEastAsia" w:eastAsiaTheme="minorEastAsia" w:cstheme="minorEastAsia"/>
                <w:spacing w:val="-12"/>
                <w:sz w:val="24"/>
                <w:highlight w:val="none"/>
              </w:rPr>
              <w:t>1、运行范围内障碍物</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运行范围内与建筑物及其他设备的最小间距应不小于100mm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2、轨道端部止挡及连接螺栓或焊缝</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轨道端部止挡不准有变形，破损等缺陷，其连接螺栓不得松动。采用焊接连接焊缝不得有裂纹。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3、固定轨道的连接螺栓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4、轨道接头焊缝</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焊缝不得有裂纹等缺陷。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5、轨道磨损</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轨道与车轮踏面及轮缘接触处不得局部异常变形及磨损。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按钮</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外观及绝缘物不得有损伤。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2、悬挂电缆</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电缆上、下两端固定应牢固可靠不得有破损、断线等缺陷，须保证绝缘。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触点不得有严重磨损。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4、接线及接地</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接线应牢固可靠，连接螺栓不得有松动。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电磁接触器</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1、动作状态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触点的接触和打开动作应灵敏，不得粘连。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2、接地螺栓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不得有严重磨损及磨耗。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起升限位器</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1、动作状态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动作灵敏可靠，应调节到吊钩在上升限位时吊钩装置最高点与卷筒间距离不小于50mm。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2、触点</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动作准确、灵敏，不得有损伤及严重磨损。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3、接地螺栓</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79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    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滑线不得有严重锈蚀和油垢，支撑安装应牢固，滑线不得有明显的下挠。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不得有外伤，异常的弯曲或扭转，老化等缺陷。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2、装配状况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电缆与开关的连接不得有松动，吊线环不得脱离滑道，支撑钢丝两端不得有松动。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装置</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1、吊钩</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目测不得有裂纹、异常磨损和钩口异常变形。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2、轴承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回转应灵活、平滑。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3、吊钩螺母</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锁紧装置不得有松动。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4、滑轮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滑轮槽不得有异常磨损，轮缘完整，不得有损伤。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滑轮罩壳不得有磨损，挡轴板、挡圈及销不得有松动，钩口闭锁装置应正常。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制动器</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1、起升机构的制动环或制动片</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锥形制动磨损量不得大于原厚度的50%，且不大于轴向调整量的最大值。制动片的磨损不大于原厚度的50%。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2、运行机构的平面制动环</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平面制动环的磨损量不大于原厚度的50%。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3、制动环的外观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制动环的外观不得有裂纹和损伤。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小车</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1、墙板</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2、车轮</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踏面和轮缘不得有异常磨损和伤痕。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1、绳端固定状态</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钢丝绳各尾端固定应牢固可靠，不得有异常。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不得有扭结、灼伤及明显的松散、腐蚀等缺陷，绳上应有润滑油脂。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w:t>
            </w: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1、工作状况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集电器轮回转应灵活，不得有明显磨损。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Theme="minorEastAsia" w:hAnsiTheme="minorEastAsia" w:eastAsiaTheme="minorEastAsia" w:cstheme="minorEastAsia"/>
                <w:sz w:val="24"/>
                <w:highlight w:val="none"/>
              </w:rPr>
            </w:pPr>
          </w:p>
        </w:tc>
        <w:tc>
          <w:tcPr>
            <w:tcW w:w="2786"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2、外观</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连接螺栓不得有松动，绝缘体不得松动和破损，弹簧不得失去弹性。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79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齿轮油状况</w:t>
            </w:r>
          </w:p>
        </w:tc>
        <w:tc>
          <w:tcPr>
            <w:tcW w:w="485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开式齿轮表面应定期加油脂，闭式齿轮应定期加机油。</w:t>
            </w:r>
          </w:p>
        </w:tc>
      </w:tr>
    </w:tbl>
    <w:p>
      <w:pPr>
        <w:pStyle w:val="2"/>
        <w:adjustRightInd w:val="0"/>
        <w:spacing w:line="240" w:lineRule="auto"/>
        <w:rPr>
          <w:rFonts w:asciiTheme="minorEastAsia" w:hAnsiTheme="minorEastAsia" w:eastAsiaTheme="minorEastAsia" w:cstheme="minorEastAsia"/>
          <w:sz w:val="24"/>
          <w:highlight w:val="none"/>
        </w:rPr>
      </w:pPr>
    </w:p>
    <w:p>
      <w:pPr>
        <w:adjustRightInd w:val="0"/>
        <w:snapToGrid w:val="0"/>
        <w:jc w:val="center"/>
        <w:rPr>
          <w:rFonts w:asciiTheme="minorEastAsia" w:hAnsiTheme="minorEastAsia" w:eastAsiaTheme="minorEastAsia" w:cstheme="minorEastAsia"/>
          <w:sz w:val="24"/>
          <w:highlight w:val="none"/>
        </w:rPr>
      </w:pPr>
    </w:p>
    <w:p>
      <w:pPr>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br w:type="page"/>
      </w:r>
    </w:p>
    <w:p>
      <w:pPr>
        <w:adjustRightInd w:val="0"/>
        <w:snapToGrid w:val="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表9  单梁行车月检项目</w:t>
      </w:r>
    </w:p>
    <w:tbl>
      <w:tblPr>
        <w:tblStyle w:val="25"/>
        <w:tblW w:w="871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2961"/>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0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考 核 标 准 及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运行轨道</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运行范围内的障碍物</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阻进器的变形、破坏及连接螺栓或焊缝工字钢轨道固定螺栓</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工字钢轨道接头及固定焊缝</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轨道的异常磨损</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电动葫芦在运行范围内与土建及其他设备最小间隔≥100mm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阻进器不得有变形、破损等缺陷，采用螺栓连接时螺栓及紧固件不应有松动，采用焊接时焊缝不应有龟裂</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不得有松动、脱落</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焊缝不得有裂纹、龟裂等缺陷</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工字钢与车轮踏面、轮缘接触处不得有局部异常变形及磨损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按钮开关∧手电门∨</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手电门外观</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手电门悬挂电缆</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操作按钮联锁装置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开关触点</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接地螺钉</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外壳及绝缘物不得有损伤</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悬挂电缆上下端固定要牢固可靠，不得有破损处，不得有断线，要保证绝缘</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上---一下、左----右、前----后、各组按钮联锁要可靠，同时按一组按钮，应保证电动葫芦不动作 </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不得有磨耗及损伤</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不得有松动，地线要接牢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交流接触器</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触点状态</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触点动作 </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接线固定连接螺钉</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不得有严重的损伤及磨耗</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触点接触、打开动作要灵敏，不得有粘连</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限位器</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动作状态</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触点动作</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动作位置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接线固定连接螺钉</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无异常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动作应灵敏可靠</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重锤式应调节到保证吊钩装置的上极限位置距卷筒外壳≥50mm</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外表</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悬挂状态</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吊线环</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电缆的连接</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支承钢丝</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不得有破裂、损伤、芯线外露</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无异常弯曲、扭转</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间隔要适当，不得脱离滑道</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电缆与开关的连接不得有松动或脱落</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两端固定不得有松动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挠度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清洁状况</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支承状态</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滑线要张紧，不得有明显的下挠度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滑线上下不得有严重的锈蚀及污物</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支撑装置要牢固可靠，不得有破损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与电缆的连接</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滑轮的回转</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集电器的绝缘</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弹簧的变形</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连接螺栓不应有松动或脱落</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集电滑轮回转要平滑，否则应供油</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集电滑轮槽和油孔不得有明显的磨损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绝缘体的固定不得有松动，要安全可靠</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不得因锈蚀和疲劳而失去弹力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器</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锥形制动环或盘式制动片的磨损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运行机构平面制动环</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制动环（片）</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锥形制动环磨损量不得使轴向移动量超过3—5mm（正常时为1.5mm），圆盘制动片磨损量不得超过原厚度的50%</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磨损量不得超过原厚度的50%</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丝</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绳</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断丝</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外伤</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松散与腐蚀</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绳端的固定</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与均衡滑轮接触处</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润滑油</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1个捻距内钢丝绳断丝数量不得超过钢丝总数的10%</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磨损后的直径减小量不得超过公称直径的7%</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不得有扭结及电焊灼伤</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不得有明显的松散、麻芯脱出及腐蚀</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无异常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无异常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钢丝绳外表应保持一定的涂油量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裂纹</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开口变形</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感观检查与量具检测，不得有异常磨损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感观或放大镜检查，不应存在裂纹</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不得有异常的明显变形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吊钩滑轮组</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止推轴承</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吊钩螺母</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吊钩滑轮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滑轮槽</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轴承的磨损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滑轮外壳、挡轴板、挡圈、销</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必须能平顺地回转</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锁紧必须安全可靠</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不得有损伤</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不得有明显的磨损</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轴承与轴之间不得有间隙</w:t>
            </w:r>
          </w:p>
          <w:p>
            <w:pPr>
              <w:adjustRightInd w:val="0"/>
              <w:snapToGrid w:val="0"/>
              <w:textAlignment w:val="baseline"/>
              <w:rPr>
                <w:rFonts w:asciiTheme="minorEastAsia" w:hAnsiTheme="minorEastAsia" w:eastAsiaTheme="minorEastAsia" w:cstheme="minorEastAsia"/>
                <w:spacing w:val="6"/>
                <w:sz w:val="24"/>
                <w:highlight w:val="none"/>
              </w:rPr>
            </w:pPr>
            <w:r>
              <w:rPr>
                <w:rFonts w:hint="eastAsia" w:asciiTheme="minorEastAsia" w:hAnsiTheme="minorEastAsia" w:eastAsiaTheme="minorEastAsia" w:cstheme="minorEastAsia"/>
                <w:spacing w:val="6"/>
                <w:sz w:val="24"/>
                <w:highlight w:val="none"/>
              </w:rPr>
              <w:t>滑轮外壳不得有明显的损伤；挡轴板、挡圈、锁不得有松动与脱落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均衡滑轮</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回转状态</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外观</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回转要平顺</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运行小车</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墙板连接螺栓</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车轮踏面轮缘</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不得有松动</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不得有明显磨损、剥落与缺蚀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供油</w:t>
            </w:r>
          </w:p>
        </w:tc>
        <w:tc>
          <w:tcPr>
            <w:tcW w:w="2961"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开式、闭式齿轮</w:t>
            </w:r>
          </w:p>
        </w:tc>
        <w:tc>
          <w:tcPr>
            <w:tcW w:w="4510"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开式齿轮要定期涂润滑脂，闭式齿轮要定期加油</w:t>
            </w:r>
          </w:p>
        </w:tc>
      </w:tr>
    </w:tbl>
    <w:p>
      <w:pPr>
        <w:adjustRightInd w:val="0"/>
        <w:snapToGrid w:val="0"/>
        <w:ind w:firstLine="480" w:firstLineChars="200"/>
        <w:jc w:val="center"/>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表10  单梁行车年检项目</w:t>
      </w:r>
    </w:p>
    <w:tbl>
      <w:tblPr>
        <w:tblStyle w:val="25"/>
        <w:tblW w:w="879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2693"/>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考 核 标 准 及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3"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运行轨道</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工字型钢轨的运行踏面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工字型钢轨连接固定</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工字型钢轨安装及误差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工字型钢轨的磨损</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不得有大量灰尘，附着油污，以防车轮打滑而加剧车轮和齿轮的磨损。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连接螺栓不应有松动、脱落、焊接或接头、轨道本体不得出现龟裂。</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工字钢倾斜度≤1‰，接头处钢轨高低偏差、两钢轨中心线偏差均≤0.5—1mm。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翼缘踏面磨损量≤10%原尺寸；宽度磨损量≤5%原尺寸。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3"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w:t>
            </w: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起升减速器齿轮的磨损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运行减速器齿轮的磨损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齿轮的啮合面</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第一级齿轮磨损量＜10%原齿厚，其他齿轮均＜20%原齿厚；淬火齿轮齿面剥落面积＜50%</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第一级齿轮磨损量＜15%原齿厚，其他齿轮均＜25%原齿厚；开式齿轮则为＜40%原齿厚</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不得有裂纹及异常磨损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轴、轴承及油封</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齿轮轴的磨损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其他轴的磨损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滚动轴承及油封</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磨损量不得超过原轴径的1%</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磨损量不得超过原轴径的2%</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滚动轴承不得有破损或有害的裂纹；油封与轴配合表面不得有裂纹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车</w:t>
            </w: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踏面直径及圆度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踏面磨损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轮缘厚度磨损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外表面</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测量车轮踏面直径，误差＜1%公称直径；踏面圆度误差≤0.8mm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按踏面直径测量，磨损量＜5%原尺寸</w:t>
            </w:r>
          </w:p>
          <w:p>
            <w:pPr>
              <w:adjustRightInd w:val="0"/>
              <w:snapToGrid w:val="0"/>
              <w:textAlignment w:val="baseline"/>
              <w:rPr>
                <w:rFonts w:asciiTheme="minorEastAsia" w:hAnsiTheme="minorEastAsia" w:eastAsiaTheme="minorEastAsia" w:cstheme="minorEastAsia"/>
                <w:spacing w:val="-4"/>
                <w:sz w:val="24"/>
                <w:highlight w:val="none"/>
              </w:rPr>
            </w:pPr>
            <w:r>
              <w:rPr>
                <w:rFonts w:hint="eastAsia" w:asciiTheme="minorEastAsia" w:hAnsiTheme="minorEastAsia" w:eastAsiaTheme="minorEastAsia" w:cstheme="minorEastAsia"/>
                <w:spacing w:val="-4"/>
                <w:sz w:val="24"/>
                <w:highlight w:val="none"/>
              </w:rPr>
              <w:t>其磨损量＜40%原厚度，轨道与轮缘侧向总间隙应＜1/2车轮踏面宽度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器</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制动环的磨损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制动机构</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摩擦片磨损量＜50%原厚度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不得有龟裂和异常变形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钩</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危险断面的磨损</w:t>
            </w:r>
          </w:p>
          <w:p>
            <w:pPr>
              <w:adjustRightInd w:val="0"/>
              <w:snapToGrid w:val="0"/>
              <w:textAlignment w:val="baseline"/>
              <w:rPr>
                <w:rFonts w:asciiTheme="minorEastAsia" w:hAnsiTheme="minorEastAsia" w:eastAsiaTheme="minorEastAsia" w:cstheme="minorEastAsia"/>
                <w:w w:val="90"/>
                <w:sz w:val="24"/>
                <w:highlight w:val="none"/>
              </w:rPr>
            </w:pPr>
            <w:r>
              <w:rPr>
                <w:rFonts w:hint="eastAsia" w:asciiTheme="minorEastAsia" w:hAnsiTheme="minorEastAsia" w:eastAsiaTheme="minorEastAsia" w:cstheme="minorEastAsia"/>
                <w:w w:val="90"/>
                <w:sz w:val="24"/>
                <w:highlight w:val="none"/>
              </w:rPr>
              <w:t>开口度及扭转变形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外表及螺纹</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磨损量＜10%原尺寸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pacing w:val="-6"/>
                <w:sz w:val="24"/>
                <w:highlight w:val="none"/>
              </w:rPr>
              <w:t>开口度＜15%原尺寸，超过极限尺寸，不得修复使用；扭转变形＜10</w:t>
            </w:r>
            <w:r>
              <w:rPr>
                <w:rFonts w:hint="eastAsia" w:asciiTheme="minorEastAsia" w:hAnsiTheme="minorEastAsia" w:eastAsiaTheme="minorEastAsia" w:cstheme="minorEastAsia"/>
                <w:sz w:val="24"/>
                <w:highlight w:val="none"/>
              </w:rPr>
              <w:t>°</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吊钩外表面不得出现龟裂；螺纹部分不得有异常的磨损、拔牙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w:t>
            </w: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轮槽的磨损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轮缘</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槽底磨损量</w:t>
            </w:r>
            <w:r>
              <w:rPr>
                <w:rFonts w:hint="eastAsia" w:asciiTheme="minorEastAsia" w:hAnsiTheme="minorEastAsia" w:eastAsiaTheme="minorEastAsia" w:cstheme="minorEastAsia"/>
                <w:spacing w:val="-2"/>
                <w:sz w:val="24"/>
                <w:highlight w:val="none"/>
              </w:rPr>
              <w:t>＜30%钢丝绳直径，槽壁厚磨损量＜30%原尺寸；但均不得超过3</w:t>
            </w:r>
            <w:r>
              <w:rPr>
                <w:rFonts w:hint="eastAsia" w:asciiTheme="minorEastAsia" w:hAnsiTheme="minorEastAsia" w:eastAsiaTheme="minorEastAsia" w:cstheme="minorEastAsia"/>
                <w:sz w:val="24"/>
                <w:highlight w:val="none"/>
              </w:rPr>
              <w:t>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轮缘不得破损及有裂纹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外伤、磨损、断丝、变形腐蚀</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按月检标准重复考核检查</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绳端的腐蚀在年检中应作为重点检查项目，不得有较严重腐蚀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键、花键</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键与键槽连接不得有松动及变形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键、键槽、花键不得有异常磨损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卷筒</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卷筒壁厚磨损量</w:t>
            </w:r>
            <w:r>
              <w:rPr>
                <w:rFonts w:hint="eastAsia" w:asciiTheme="minorEastAsia" w:hAnsiTheme="minorEastAsia" w:eastAsiaTheme="minorEastAsia" w:cstheme="minorEastAsia"/>
                <w:spacing w:val="-2"/>
                <w:sz w:val="24"/>
                <w:highlight w:val="none"/>
              </w:rPr>
              <w:t>＜15%原壁厚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2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滑轮及导线接触处</w:t>
            </w:r>
          </w:p>
          <w:p>
            <w:pPr>
              <w:adjustRightInd w:val="0"/>
              <w:snapToGrid w:val="0"/>
              <w:jc w:val="center"/>
              <w:textAlignment w:val="baseline"/>
              <w:rPr>
                <w:rFonts w:asciiTheme="minorEastAsia" w:hAnsiTheme="minorEastAsia" w:eastAsiaTheme="minorEastAsia" w:cstheme="minorEastAsia"/>
                <w:w w:val="90"/>
                <w:sz w:val="24"/>
                <w:highlight w:val="none"/>
              </w:rPr>
            </w:pPr>
            <w:r>
              <w:rPr>
                <w:rFonts w:hint="eastAsia" w:asciiTheme="minorEastAsia" w:hAnsiTheme="minorEastAsia" w:eastAsiaTheme="minorEastAsia" w:cstheme="minorEastAsia"/>
                <w:sz w:val="24"/>
                <w:highlight w:val="none"/>
              </w:rPr>
              <w:t>滑轮孔与轴的间隙</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pacing w:val="-2"/>
                <w:sz w:val="24"/>
                <w:highlight w:val="none"/>
              </w:rPr>
            </w:pPr>
            <w:r>
              <w:rPr>
                <w:rFonts w:hint="eastAsia" w:asciiTheme="minorEastAsia" w:hAnsiTheme="minorEastAsia" w:eastAsiaTheme="minorEastAsia" w:cstheme="minorEastAsia"/>
                <w:sz w:val="24"/>
                <w:highlight w:val="none"/>
              </w:rPr>
              <w:t>滑轮槽底磨损量</w:t>
            </w:r>
            <w:r>
              <w:rPr>
                <w:rFonts w:hint="eastAsia" w:asciiTheme="minorEastAsia" w:hAnsiTheme="minorEastAsia" w:eastAsiaTheme="minorEastAsia" w:cstheme="minorEastAsia"/>
                <w:spacing w:val="-2"/>
                <w:sz w:val="24"/>
                <w:highlight w:val="none"/>
              </w:rPr>
              <w:t>＜20%槽底轮径原尺寸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pacing w:val="-2"/>
                <w:sz w:val="24"/>
                <w:highlight w:val="none"/>
              </w:rPr>
              <w:t>＜20%原轴径尺寸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开关触点及机构</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触点磨损</w:t>
            </w:r>
            <w:r>
              <w:rPr>
                <w:rFonts w:hint="eastAsia" w:asciiTheme="minorEastAsia" w:hAnsiTheme="minorEastAsia" w:eastAsiaTheme="minorEastAsia" w:cstheme="minorEastAsia"/>
                <w:spacing w:val="-2"/>
                <w:sz w:val="24"/>
                <w:highlight w:val="none"/>
              </w:rPr>
              <w:t>＜50%原尺寸，机构动作不得有故障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3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电线电缆及吊具</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不得有外伤、老化、断线、严重污损及其他异常；电缆吊具的移动要平滑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绝          缘</w:t>
            </w:r>
          </w:p>
        </w:tc>
        <w:tc>
          <w:tcPr>
            <w:tcW w:w="489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回路绝缘电阻≥0.5MΩ</w:t>
            </w:r>
          </w:p>
        </w:tc>
      </w:tr>
    </w:tbl>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表11  液压抓斗维护表</w:t>
      </w:r>
    </w:p>
    <w:tbl>
      <w:tblPr>
        <w:tblStyle w:val="26"/>
        <w:tblW w:w="88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4533"/>
        <w:gridCol w:w="1061"/>
        <w:gridCol w:w="955"/>
        <w:gridCol w:w="1008"/>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637"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4533" w:type="dxa"/>
            <w:vMerge w:val="restart"/>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维修内容</w:t>
            </w:r>
          </w:p>
        </w:tc>
        <w:tc>
          <w:tcPr>
            <w:tcW w:w="3679" w:type="dxa"/>
            <w:gridSpan w:val="4"/>
            <w:noWrap/>
            <w:vAlign w:val="center"/>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维护周期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637" w:type="dxa"/>
            <w:vMerge w:val="continue"/>
          </w:tcPr>
          <w:p>
            <w:pPr>
              <w:adjustRightInd w:val="0"/>
              <w:snapToGrid w:val="0"/>
              <w:rPr>
                <w:rFonts w:asciiTheme="minorEastAsia" w:hAnsiTheme="minorEastAsia" w:eastAsiaTheme="minorEastAsia" w:cstheme="minorEastAsia"/>
                <w:sz w:val="24"/>
                <w:highlight w:val="none"/>
              </w:rPr>
            </w:pPr>
          </w:p>
        </w:tc>
        <w:tc>
          <w:tcPr>
            <w:tcW w:w="4533" w:type="dxa"/>
            <w:vMerge w:val="continue"/>
          </w:tcPr>
          <w:p>
            <w:pPr>
              <w:adjustRightInd w:val="0"/>
              <w:snapToGrid w:val="0"/>
              <w:rPr>
                <w:rFonts w:asciiTheme="minorEastAsia" w:hAnsiTheme="minorEastAsia" w:eastAsiaTheme="minorEastAsia" w:cstheme="minorEastAsia"/>
                <w:sz w:val="24"/>
                <w:highlight w:val="none"/>
              </w:rPr>
            </w:pPr>
          </w:p>
        </w:tc>
        <w:tc>
          <w:tcPr>
            <w:tcW w:w="1061"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500小时后</w:t>
            </w:r>
          </w:p>
        </w:tc>
        <w:tc>
          <w:tcPr>
            <w:tcW w:w="955"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每周</w:t>
            </w:r>
          </w:p>
        </w:tc>
        <w:tc>
          <w:tcPr>
            <w:tcW w:w="1008"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每1000小时</w:t>
            </w:r>
          </w:p>
        </w:tc>
        <w:tc>
          <w:tcPr>
            <w:tcW w:w="655"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A点和L点加注润滑脂（参考说明书）</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检测油缸、软管、管接头及液压密封件的密封性能</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检查电气接插件及防张网链是否连接紧固</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检查油位</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检查及更换液压油</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检查及更换回油滤芯</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检查抓斗，特别是有撞击痕迹的地方，焊缝材料是否损坏</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检查高压软管装配合理性及操作安全性</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9</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检查所有的螺栓连接</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10</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检查各零部件损坏，磨损及其他变化</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37"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w:t>
            </w:r>
          </w:p>
        </w:tc>
        <w:tc>
          <w:tcPr>
            <w:tcW w:w="4533" w:type="dxa"/>
            <w:noWrap/>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检查安全装置的完整性和功能</w:t>
            </w:r>
          </w:p>
        </w:tc>
        <w:tc>
          <w:tcPr>
            <w:tcW w:w="1061"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9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1008"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c>
          <w:tcPr>
            <w:tcW w:w="655" w:type="dxa"/>
            <w:noWrap/>
          </w:tcPr>
          <w:p>
            <w:pPr>
              <w:adjustRightInd w:val="0"/>
              <w:snapToGrid w:val="0"/>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8849" w:type="dxa"/>
            <w:gridSpan w:val="6"/>
          </w:tcPr>
          <w:p>
            <w:pPr>
              <w:adjustRightInd w:val="0"/>
              <w:snapToGrid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备注：a） 在允许的情况下可以对液压油进行实验室检测，测定其使用寿命范围，根据液压油的油品状态确认是否需要更换</w:t>
            </w:r>
          </w:p>
        </w:tc>
      </w:tr>
    </w:tbl>
    <w:p>
      <w:pPr>
        <w:adjustRightInd w:val="0"/>
        <w:snapToGrid w:val="0"/>
        <w:rPr>
          <w:rFonts w:asciiTheme="minorEastAsia" w:hAnsiTheme="minorEastAsia" w:eastAsiaTheme="minorEastAsia" w:cstheme="minorEastAsia"/>
          <w:sz w:val="24"/>
          <w:highlight w:val="none"/>
        </w:rPr>
      </w:pPr>
    </w:p>
    <w:p>
      <w:pPr>
        <w:adjustRightInd w:val="0"/>
        <w:snapToGrid w:val="0"/>
        <w:rPr>
          <w:rFonts w:asciiTheme="minorEastAsia" w:hAnsiTheme="minorEastAsia" w:eastAsiaTheme="minorEastAsia" w:cstheme="minorEastAsia"/>
          <w:b/>
          <w:bCs/>
          <w:sz w:val="24"/>
          <w:highlight w:val="none"/>
        </w:rPr>
      </w:pPr>
    </w:p>
    <w:p>
      <w:pPr>
        <w:adjustRightInd w:val="0"/>
        <w:snapToGrid w:val="0"/>
        <w:rPr>
          <w:rFonts w:asciiTheme="minorEastAsia" w:hAnsiTheme="minorEastAsia" w:eastAsiaTheme="minorEastAsia" w:cstheme="minorEastAsia"/>
          <w:b/>
          <w:bCs/>
          <w:sz w:val="24"/>
          <w:highlight w:val="none"/>
        </w:rPr>
      </w:pPr>
    </w:p>
    <w:p>
      <w:pPr>
        <w:adjustRightInd w:val="0"/>
        <w:snapToGrid w:val="0"/>
        <w:rPr>
          <w:rFonts w:asciiTheme="minorEastAsia" w:hAnsiTheme="minorEastAsia" w:eastAsiaTheme="minorEastAsia" w:cstheme="minorEastAsia"/>
          <w:b/>
          <w:bCs/>
          <w:sz w:val="24"/>
          <w:highlight w:val="none"/>
        </w:rPr>
      </w:pPr>
    </w:p>
    <w:p>
      <w:pPr>
        <w:adjustRightInd w:val="0"/>
        <w:snapToGrid w:val="0"/>
        <w:rPr>
          <w:rFonts w:asciiTheme="minorEastAsia" w:hAnsiTheme="minorEastAsia" w:eastAsiaTheme="minorEastAsia" w:cstheme="minorEastAsia"/>
          <w:b/>
          <w:bCs/>
          <w:sz w:val="24"/>
          <w:highlight w:val="none"/>
        </w:rPr>
      </w:pPr>
    </w:p>
    <w:p>
      <w:pPr>
        <w:adjustRightInd w:val="0"/>
        <w:snapToGrid w:val="0"/>
        <w:rPr>
          <w:rFonts w:asciiTheme="minorEastAsia" w:hAnsiTheme="minorEastAsia" w:eastAsiaTheme="minorEastAsia" w:cstheme="minorEastAsia"/>
          <w:b/>
          <w:bCs/>
          <w:sz w:val="24"/>
          <w:highlight w:val="none"/>
        </w:rPr>
      </w:pPr>
    </w:p>
    <w:p>
      <w:pPr>
        <w:pStyle w:val="2"/>
        <w:rPr>
          <w:rFonts w:asciiTheme="minorEastAsia" w:hAnsiTheme="minorEastAsia" w:eastAsiaTheme="minorEastAsia" w:cstheme="minorEastAsia"/>
          <w:b/>
          <w:bCs/>
          <w:sz w:val="24"/>
          <w:highlight w:val="none"/>
        </w:rPr>
      </w:pPr>
    </w:p>
    <w:p>
      <w:pPr>
        <w:rPr>
          <w:highlight w:val="none"/>
        </w:rPr>
      </w:pPr>
    </w:p>
    <w:p>
      <w:pPr>
        <w:adjustRightInd w:val="0"/>
        <w:snapToGrid w:val="0"/>
        <w:rPr>
          <w:rFonts w:asciiTheme="minorEastAsia" w:hAnsiTheme="minorEastAsia" w:eastAsiaTheme="minorEastAsia" w:cstheme="minorEastAsia"/>
          <w:b/>
          <w:bCs/>
          <w:sz w:val="24"/>
          <w:highlight w:val="none"/>
        </w:rPr>
      </w:pPr>
    </w:p>
    <w:p>
      <w:pPr>
        <w:adjustRightInd w:val="0"/>
        <w:snapToGrid w:val="0"/>
        <w:rPr>
          <w:rFonts w:hint="default" w:asciiTheme="minorEastAsia" w:hAnsiTheme="minorEastAsia" w:eastAsiaTheme="minorEastAsia" w:cstheme="minorEastAsia"/>
          <w:b/>
          <w:bCs/>
          <w:sz w:val="24"/>
          <w:highlight w:val="none"/>
          <w:lang w:val="en-US"/>
        </w:rPr>
      </w:pPr>
      <w:r>
        <w:rPr>
          <w:rFonts w:hint="eastAsia" w:asciiTheme="minorEastAsia" w:hAnsiTheme="minorEastAsia" w:eastAsiaTheme="minorEastAsia" w:cstheme="minorEastAsia"/>
          <w:b/>
          <w:bCs/>
          <w:sz w:val="24"/>
          <w:highlight w:val="none"/>
        </w:rPr>
        <w:t>表12  1T—2T电动葫芦</w:t>
      </w:r>
      <w:r>
        <w:rPr>
          <w:rFonts w:hint="eastAsia" w:asciiTheme="minorEastAsia" w:hAnsiTheme="minorEastAsia" w:eastAsiaTheme="minorEastAsia" w:cstheme="minorEastAsia"/>
          <w:b/>
          <w:bCs/>
          <w:sz w:val="24"/>
          <w:highlight w:val="none"/>
          <w:lang w:val="en-US" w:eastAsia="zh-CN"/>
        </w:rPr>
        <w:t>年检项目</w:t>
      </w:r>
    </w:p>
    <w:tbl>
      <w:tblPr>
        <w:tblStyle w:val="25"/>
        <w:tblW w:w="875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2512"/>
        <w:gridCol w:w="5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372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检  查  项  目</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考 核 标 准 及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6"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运行轨道</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工字型钢轨的运行踏面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工字型钢轨连接固定</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工字型钢轨安装及误差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工字型钢轨的磨损</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不得有大量灰尘，附着油污，以防车轮打滑而加剧车轮和齿轮的磨损。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连接螺栓不应有松动、脱落、焊接或接头、轨道本体不得出现龟裂。</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工字钢倾斜度≤1‰，接头处钢轨高低偏差、两钢轨中心线偏差均≤0.5—1mm。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翼缘踏面磨损量≤10%原尺寸；宽度磨损量≤5%原尺寸。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w:t>
            </w: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起升减速器齿轮的磨损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运行减速器齿轮的磨损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齿轮的啮合面</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第一级齿轮磨损量＜10%原齿厚，其他齿轮均＜20%原齿厚；淬火齿轮齿面剥落面积＜50%</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第一级齿轮磨损量＜15%原齿厚，其他齿轮均＜25%原齿厚；开式齿轮则为＜40%原齿厚</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不得有裂纹及异常磨损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轴、轴承及油封</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齿轮轴的磨损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其他轴的磨损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滚动轴承及油封</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磨损量不得超过原轴径的1%</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磨损量不得超过原轴径的2%</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滚动轴承不得有破损或有害的裂纹；油封与轴配合表面不得有裂纹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车</w:t>
            </w: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踏面直径及圆度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踏面磨损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轮缘厚度磨损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外表面</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测量车轮踏面直径，误差＜1%公称直径；踏面圆度误差≤0.8mm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按踏面直径测量，磨损量＜5%原尺寸</w:t>
            </w:r>
          </w:p>
          <w:p>
            <w:pPr>
              <w:adjustRightInd w:val="0"/>
              <w:snapToGrid w:val="0"/>
              <w:textAlignment w:val="baseline"/>
              <w:rPr>
                <w:rFonts w:asciiTheme="minorEastAsia" w:hAnsiTheme="minorEastAsia" w:eastAsiaTheme="minorEastAsia" w:cstheme="minorEastAsia"/>
                <w:spacing w:val="-4"/>
                <w:sz w:val="24"/>
                <w:highlight w:val="none"/>
              </w:rPr>
            </w:pPr>
            <w:r>
              <w:rPr>
                <w:rFonts w:hint="eastAsia" w:asciiTheme="minorEastAsia" w:hAnsiTheme="minorEastAsia" w:eastAsiaTheme="minorEastAsia" w:cstheme="minorEastAsia"/>
                <w:spacing w:val="-4"/>
                <w:sz w:val="24"/>
                <w:highlight w:val="none"/>
              </w:rPr>
              <w:t>其磨损量＜40%原厚度，轨道与轮缘侧向总间隙应＜1/2车轮踏面宽度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动</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器</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制动环的磨损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制动轮</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制动机构</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摩擦片磨损量＜50%原厚度</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不得有龟裂和异常变形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w:t>
            </w: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钩</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危险断面的磨损</w:t>
            </w:r>
          </w:p>
          <w:p>
            <w:pPr>
              <w:adjustRightInd w:val="0"/>
              <w:snapToGrid w:val="0"/>
              <w:textAlignment w:val="baseline"/>
              <w:rPr>
                <w:rFonts w:asciiTheme="minorEastAsia" w:hAnsiTheme="minorEastAsia" w:eastAsiaTheme="minorEastAsia" w:cstheme="minorEastAsia"/>
                <w:w w:val="90"/>
                <w:sz w:val="24"/>
                <w:highlight w:val="none"/>
              </w:rPr>
            </w:pPr>
            <w:r>
              <w:rPr>
                <w:rFonts w:hint="eastAsia" w:asciiTheme="minorEastAsia" w:hAnsiTheme="minorEastAsia" w:eastAsiaTheme="minorEastAsia" w:cstheme="minorEastAsia"/>
                <w:w w:val="90"/>
                <w:sz w:val="24"/>
                <w:highlight w:val="none"/>
              </w:rPr>
              <w:t>开口度及扭转变形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外表及螺纹</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磨损量＜10%原尺寸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pacing w:val="-6"/>
                <w:sz w:val="24"/>
                <w:highlight w:val="none"/>
              </w:rPr>
              <w:t>开口度＜15%原尺寸，超过极限尺寸，不得修复使用；扭转变形＜10</w:t>
            </w:r>
            <w:r>
              <w:rPr>
                <w:rFonts w:hint="eastAsia" w:asciiTheme="minorEastAsia" w:hAnsiTheme="minorEastAsia" w:eastAsiaTheme="minorEastAsia" w:cstheme="minorEastAsia"/>
                <w:sz w:val="24"/>
                <w:highlight w:val="none"/>
              </w:rPr>
              <w:t>°</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吊钩外表面不得出现龟裂；螺纹部分不得有异常的磨损、拔牙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w:t>
            </w:r>
          </w:p>
          <w:p>
            <w:pPr>
              <w:adjustRightInd w:val="0"/>
              <w:snapToGrid w:val="0"/>
              <w:jc w:val="center"/>
              <w:textAlignment w:val="baseline"/>
              <w:rPr>
                <w:rFonts w:asciiTheme="minorEastAsia" w:hAnsiTheme="minorEastAsia" w:eastAsiaTheme="minorEastAsia" w:cstheme="minorEastAsia"/>
                <w:sz w:val="24"/>
                <w:highlight w:val="none"/>
              </w:rPr>
            </w:pPr>
          </w:p>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轮槽的磨损</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轮缘</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槽底磨损量</w:t>
            </w:r>
            <w:r>
              <w:rPr>
                <w:rFonts w:hint="eastAsia" w:asciiTheme="minorEastAsia" w:hAnsiTheme="minorEastAsia" w:eastAsiaTheme="minorEastAsia" w:cstheme="minorEastAsia"/>
                <w:spacing w:val="-2"/>
                <w:sz w:val="24"/>
                <w:highlight w:val="none"/>
              </w:rPr>
              <w:t>＜30%钢丝绳直径，槽壁厚磨损量＜30%原尺寸；但均不得超过3</w:t>
            </w:r>
            <w:r>
              <w:rPr>
                <w:rFonts w:hint="eastAsia" w:asciiTheme="minorEastAsia" w:hAnsiTheme="minorEastAsia" w:eastAsiaTheme="minorEastAsia" w:cstheme="minorEastAsia"/>
                <w:sz w:val="24"/>
                <w:highlight w:val="none"/>
              </w:rPr>
              <w:t>mm；</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轮缘不得破损及有裂纹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钢丝绳</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外伤、磨损、断丝、变形腐蚀</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绳端的腐蚀在年检中应作为重点检查项目，不得有较严重腐蚀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键、花键</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键与键槽连接不得有松动及变形</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键、键槽、花键不得有异常磨损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卷筒</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磨损</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卷筒壁厚磨损量</w:t>
            </w:r>
            <w:r>
              <w:rPr>
                <w:rFonts w:hint="eastAsia" w:asciiTheme="minorEastAsia" w:hAnsiTheme="minorEastAsia" w:eastAsiaTheme="minorEastAsia" w:cstheme="minorEastAsia"/>
                <w:spacing w:val="-2"/>
                <w:sz w:val="24"/>
                <w:highlight w:val="none"/>
              </w:rPr>
              <w:t>＜15%原壁厚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2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集电器</w:t>
            </w:r>
          </w:p>
        </w:tc>
        <w:tc>
          <w:tcPr>
            <w:tcW w:w="251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滑轮及导线接触处</w:t>
            </w:r>
          </w:p>
          <w:p>
            <w:pPr>
              <w:adjustRightInd w:val="0"/>
              <w:snapToGrid w:val="0"/>
              <w:jc w:val="center"/>
              <w:textAlignment w:val="baseline"/>
              <w:rPr>
                <w:rFonts w:asciiTheme="minorEastAsia" w:hAnsiTheme="minorEastAsia" w:eastAsiaTheme="minorEastAsia" w:cstheme="minorEastAsia"/>
                <w:w w:val="90"/>
                <w:sz w:val="24"/>
                <w:highlight w:val="none"/>
              </w:rPr>
            </w:pPr>
            <w:r>
              <w:rPr>
                <w:rFonts w:hint="eastAsia" w:asciiTheme="minorEastAsia" w:hAnsiTheme="minorEastAsia" w:eastAsiaTheme="minorEastAsia" w:cstheme="minorEastAsia"/>
                <w:sz w:val="24"/>
                <w:highlight w:val="none"/>
              </w:rPr>
              <w:t>滑轮孔与轴的间隙</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pacing w:val="-2"/>
                <w:sz w:val="24"/>
                <w:highlight w:val="none"/>
              </w:rPr>
            </w:pPr>
            <w:r>
              <w:rPr>
                <w:rFonts w:hint="eastAsia" w:asciiTheme="minorEastAsia" w:hAnsiTheme="minorEastAsia" w:eastAsiaTheme="minorEastAsia" w:cstheme="minorEastAsia"/>
                <w:sz w:val="24"/>
                <w:highlight w:val="none"/>
              </w:rPr>
              <w:t>滑轮槽底磨损量</w:t>
            </w:r>
            <w:r>
              <w:rPr>
                <w:rFonts w:hint="eastAsia" w:asciiTheme="minorEastAsia" w:hAnsiTheme="minorEastAsia" w:eastAsiaTheme="minorEastAsia" w:cstheme="minorEastAsia"/>
                <w:spacing w:val="-2"/>
                <w:sz w:val="24"/>
                <w:highlight w:val="none"/>
              </w:rPr>
              <w:t>＜20%槽底轮径原尺寸</w:t>
            </w:r>
          </w:p>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pacing w:val="-2"/>
                <w:sz w:val="24"/>
                <w:highlight w:val="none"/>
              </w:rPr>
              <w:t>＜20%原轴径尺寸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372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开关触点及机构</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触点磨损</w:t>
            </w:r>
            <w:r>
              <w:rPr>
                <w:rFonts w:hint="eastAsia" w:asciiTheme="minorEastAsia" w:hAnsiTheme="minorEastAsia" w:eastAsiaTheme="minorEastAsia" w:cstheme="minorEastAsia"/>
                <w:spacing w:val="-2"/>
                <w:sz w:val="24"/>
                <w:highlight w:val="none"/>
              </w:rPr>
              <w:t>＜50%原尺寸，机构动作不得有故障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72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电线电缆及吊具</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不得有外伤、老化、断线、严重污损及其他异常；电缆吊具的移动要平滑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72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绝          缘</w:t>
            </w:r>
          </w:p>
        </w:tc>
        <w:tc>
          <w:tcPr>
            <w:tcW w:w="5039" w:type="dxa"/>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baseline"/>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回路绝缘电阻≥0.5MΩ</w:t>
            </w:r>
          </w:p>
        </w:tc>
      </w:tr>
    </w:tbl>
    <w:p>
      <w:pPr>
        <w:pStyle w:val="2"/>
        <w:adjustRightInd w:val="0"/>
        <w:spacing w:line="240" w:lineRule="auto"/>
        <w:rPr>
          <w:rFonts w:asciiTheme="minorEastAsia" w:hAnsiTheme="minorEastAsia" w:eastAsiaTheme="minorEastAsia" w:cstheme="minorEastAsia"/>
          <w:sz w:val="24"/>
          <w:highlight w:val="none"/>
        </w:rPr>
      </w:pPr>
    </w:p>
    <w:p>
      <w:pPr>
        <w:pStyle w:val="2"/>
        <w:rPr>
          <w:rFonts w:ascii="宋体" w:hAnsi="宋体" w:cs="宋体"/>
          <w:sz w:val="24"/>
          <w:highlight w:val="none"/>
        </w:rPr>
      </w:pPr>
    </w:p>
    <w:p>
      <w:pPr>
        <w:rPr>
          <w:highlight w:val="none"/>
        </w:rPr>
      </w:pPr>
    </w:p>
    <w:p>
      <w:pPr>
        <w:pStyle w:val="58"/>
        <w:wordWrap w:val="0"/>
        <w:adjustRightInd w:val="0"/>
        <w:snapToGrid w:val="0"/>
        <w:spacing w:line="400" w:lineRule="exact"/>
        <w:ind w:firstLine="482" w:firstLineChars="200"/>
        <w:jc w:val="both"/>
        <w:outlineLvl w:val="1"/>
        <w:rPr>
          <w:rFonts w:cs="宋体"/>
          <w:bCs/>
          <w:color w:val="auto"/>
          <w:sz w:val="24"/>
          <w:szCs w:val="24"/>
          <w:highlight w:val="none"/>
        </w:rPr>
      </w:pPr>
    </w:p>
    <w:p>
      <w:pPr>
        <w:numPr>
          <w:ilvl w:val="255"/>
          <w:numId w:val="0"/>
        </w:numPr>
        <w:wordWrap w:val="0"/>
        <w:adjustRightInd w:val="0"/>
        <w:snapToGrid w:val="0"/>
        <w:spacing w:line="400" w:lineRule="exact"/>
        <w:ind w:firstLine="480" w:firstLineChars="200"/>
        <w:rPr>
          <w:rFonts w:ascii="宋体" w:hAnsi="宋体" w:eastAsia="宋体" w:cs="宋体"/>
          <w:b/>
          <w:bCs/>
          <w:sz w:val="24"/>
          <w:highlight w:val="none"/>
        </w:rPr>
      </w:pPr>
      <w:r>
        <w:rPr>
          <w:rFonts w:hint="eastAsia" w:ascii="宋体" w:hAnsi="宋体" w:eastAsia="宋体" w:cs="宋体"/>
          <w:sz w:val="24"/>
          <w:highlight w:val="none"/>
        </w:rPr>
        <w:t>注：招标文件中打▲内容为实质性要求，不允许有负偏离，否则按无效标处理。</w:t>
      </w:r>
      <w:r>
        <w:rPr>
          <w:rFonts w:hint="eastAsia" w:ascii="宋体" w:hAnsi="宋体" w:eastAsia="宋体" w:cs="宋体"/>
          <w:b/>
          <w:bCs/>
          <w:sz w:val="24"/>
          <w:highlight w:val="none"/>
        </w:rPr>
        <w:t>投标人在投标文件中应根据以上要求在商务、技术偏离表中一一响应。</w:t>
      </w:r>
    </w:p>
    <w:p>
      <w:pPr>
        <w:adjustRightInd w:val="0"/>
        <w:snapToGrid w:val="0"/>
        <w:spacing w:line="400" w:lineRule="exact"/>
        <w:ind w:firstLine="482" w:firstLineChars="200"/>
        <w:rPr>
          <w:rFonts w:ascii="宋体" w:hAnsi="宋体" w:eastAsia="宋体" w:cs="宋体"/>
          <w:b/>
          <w:bCs/>
          <w:snapToGrid w:val="0"/>
          <w:kern w:val="0"/>
          <w:sz w:val="24"/>
          <w:highlight w:val="none"/>
        </w:rPr>
      </w:pPr>
    </w:p>
    <w:p>
      <w:pPr>
        <w:spacing w:line="400" w:lineRule="exact"/>
        <w:rPr>
          <w:rFonts w:ascii="宋体" w:hAnsi="宋体" w:eastAsia="宋体" w:cs="宋体"/>
          <w:bCs/>
          <w:kern w:val="44"/>
          <w:sz w:val="24"/>
          <w:highlight w:val="none"/>
        </w:rPr>
      </w:pPr>
      <w:bookmarkStart w:id="102" w:name="_Toc83886029"/>
      <w:bookmarkStart w:id="103" w:name="_Toc26319"/>
    </w:p>
    <w:p>
      <w:pPr>
        <w:spacing w:line="400" w:lineRule="exact"/>
        <w:rPr>
          <w:rFonts w:ascii="宋体" w:hAnsi="宋体" w:eastAsia="宋体" w:cs="宋体"/>
          <w:bCs/>
          <w:kern w:val="44"/>
          <w:sz w:val="24"/>
          <w:highlight w:val="none"/>
        </w:rPr>
      </w:pPr>
    </w:p>
    <w:p>
      <w:pPr>
        <w:spacing w:line="400" w:lineRule="exact"/>
        <w:rPr>
          <w:rFonts w:ascii="宋体" w:hAnsi="宋体" w:eastAsia="宋体" w:cs="宋体"/>
          <w:bCs/>
          <w:kern w:val="44"/>
          <w:sz w:val="24"/>
          <w:highlight w:val="none"/>
        </w:rPr>
      </w:pPr>
    </w:p>
    <w:p>
      <w:pPr>
        <w:spacing w:line="400" w:lineRule="exact"/>
        <w:rPr>
          <w:rFonts w:ascii="宋体" w:hAnsi="宋体" w:eastAsia="宋体" w:cs="宋体"/>
          <w:bCs/>
          <w:kern w:val="44"/>
          <w:sz w:val="24"/>
          <w:highlight w:val="none"/>
        </w:rPr>
      </w:pPr>
    </w:p>
    <w:p>
      <w:pPr>
        <w:spacing w:line="400" w:lineRule="exact"/>
        <w:rPr>
          <w:rFonts w:ascii="宋体" w:hAnsi="宋体" w:eastAsia="宋体" w:cs="宋体"/>
          <w:bCs/>
          <w:kern w:val="44"/>
          <w:sz w:val="24"/>
          <w:highlight w:val="none"/>
        </w:rPr>
      </w:pPr>
    </w:p>
    <w:p>
      <w:pPr>
        <w:rPr>
          <w:rFonts w:ascii="宋体" w:hAnsi="宋体" w:eastAsia="宋体" w:cs="宋体"/>
          <w:b/>
          <w:kern w:val="44"/>
          <w:szCs w:val="44"/>
          <w:highlight w:val="none"/>
        </w:rPr>
      </w:pPr>
      <w:r>
        <w:rPr>
          <w:rFonts w:hint="eastAsia" w:ascii="宋体" w:hAnsi="宋体" w:eastAsia="宋体" w:cs="宋体"/>
          <w:b/>
          <w:kern w:val="44"/>
          <w:szCs w:val="44"/>
          <w:highlight w:val="none"/>
        </w:rPr>
        <w:br w:type="page"/>
      </w:r>
    </w:p>
    <w:p>
      <w:pPr>
        <w:widowControl/>
        <w:numPr>
          <w:ilvl w:val="255"/>
          <w:numId w:val="0"/>
        </w:numPr>
        <w:spacing w:line="400" w:lineRule="exact"/>
        <w:jc w:val="center"/>
        <w:outlineLvl w:val="0"/>
        <w:rPr>
          <w:rFonts w:ascii="宋体" w:hAnsi="宋体" w:eastAsia="宋体" w:cs="宋体"/>
          <w:b/>
          <w:kern w:val="44"/>
          <w:szCs w:val="44"/>
          <w:highlight w:val="none"/>
        </w:rPr>
      </w:pPr>
      <w:r>
        <w:rPr>
          <w:rFonts w:hint="eastAsia" w:ascii="宋体" w:hAnsi="宋体" w:eastAsia="宋体" w:cs="宋体"/>
          <w:b/>
          <w:kern w:val="44"/>
          <w:szCs w:val="44"/>
          <w:highlight w:val="none"/>
        </w:rPr>
        <w:t>第四章  评标方法及评价标准</w:t>
      </w:r>
      <w:bookmarkEnd w:id="102"/>
      <w:bookmarkEnd w:id="103"/>
    </w:p>
    <w:p>
      <w:pPr>
        <w:pStyle w:val="4"/>
        <w:spacing w:before="140" w:after="140" w:line="360" w:lineRule="auto"/>
        <w:jc w:val="center"/>
        <w:rPr>
          <w:rFonts w:ascii="Times New Roman" w:hAnsi="Times New Roman" w:eastAsia="仿宋_GB2312" w:cs="仿宋_GB2312"/>
          <w:sz w:val="24"/>
          <w:szCs w:val="24"/>
          <w:highlight w:val="none"/>
        </w:rPr>
      </w:pPr>
      <w:bookmarkStart w:id="104" w:name="_Toc101294480"/>
      <w:bookmarkStart w:id="105" w:name="_Toc101294410"/>
      <w:r>
        <w:rPr>
          <w:rFonts w:hint="eastAsia" w:ascii="Times New Roman" w:hAnsi="Times New Roman" w:eastAsia="仿宋_GB2312" w:cs="仿宋_GB2312"/>
          <w:sz w:val="24"/>
          <w:szCs w:val="24"/>
          <w:highlight w:val="none"/>
        </w:rPr>
        <w:t>1、评标方法</w:t>
      </w:r>
    </w:p>
    <w:p>
      <w:pPr>
        <w:spacing w:line="440" w:lineRule="exact"/>
        <w:ind w:firstLine="420"/>
        <w:rPr>
          <w:rFonts w:cs="仿宋_GB2312"/>
          <w:sz w:val="24"/>
          <w:highlight w:val="none"/>
        </w:rPr>
      </w:pPr>
      <w:r>
        <w:rPr>
          <w:rFonts w:hint="eastAsia" w:cs="仿宋_GB2312"/>
          <w:spacing w:val="10"/>
          <w:sz w:val="24"/>
          <w:highlight w:val="none"/>
        </w:rPr>
        <w:t>本</w:t>
      </w:r>
      <w:r>
        <w:rPr>
          <w:rFonts w:hint="eastAsia" w:cs="仿宋_GB2312"/>
          <w:spacing w:val="9"/>
          <w:sz w:val="24"/>
          <w:highlight w:val="none"/>
        </w:rPr>
        <w:t>项目评标方法及标准采用</w:t>
      </w:r>
      <w:r>
        <w:rPr>
          <w:rFonts w:hint="eastAsia" w:cs="仿宋_GB2312"/>
          <w:b/>
          <w:bCs/>
          <w:spacing w:val="9"/>
          <w:sz w:val="24"/>
          <w:highlight w:val="none"/>
        </w:rPr>
        <w:t>综合评分法</w:t>
      </w:r>
      <w:r>
        <w:rPr>
          <w:rFonts w:hint="eastAsia" w:cs="仿宋_GB2312"/>
          <w:spacing w:val="11"/>
          <w:sz w:val="24"/>
          <w:highlight w:val="none"/>
        </w:rPr>
        <w:t>。</w:t>
      </w:r>
    </w:p>
    <w:p>
      <w:pPr>
        <w:pStyle w:val="4"/>
        <w:spacing w:before="140" w:after="140" w:line="360" w:lineRule="auto"/>
        <w:jc w:val="center"/>
        <w:rPr>
          <w:rFonts w:ascii="Times New Roman" w:hAnsi="Times New Roman" w:eastAsia="仿宋_GB2312" w:cs="仿宋_GB2312"/>
          <w:sz w:val="24"/>
          <w:szCs w:val="24"/>
          <w:highlight w:val="none"/>
        </w:rPr>
      </w:pPr>
      <w:r>
        <w:rPr>
          <w:rFonts w:hint="eastAsia" w:ascii="Times New Roman" w:hAnsi="Times New Roman" w:eastAsia="仿宋_GB2312" w:cs="仿宋_GB2312"/>
          <w:sz w:val="24"/>
          <w:szCs w:val="24"/>
          <w:highlight w:val="none"/>
        </w:rPr>
        <w:t>2、评标程序</w:t>
      </w:r>
    </w:p>
    <w:p>
      <w:pPr>
        <w:spacing w:line="440" w:lineRule="exact"/>
        <w:ind w:firstLine="418"/>
        <w:rPr>
          <w:rFonts w:cs="仿宋_GB2312"/>
          <w:sz w:val="24"/>
          <w:highlight w:val="none"/>
        </w:rPr>
      </w:pPr>
      <w:r>
        <w:rPr>
          <w:rFonts w:hint="eastAsia" w:cs="仿宋_GB2312"/>
          <w:spacing w:val="9"/>
          <w:sz w:val="24"/>
          <w:highlight w:val="none"/>
        </w:rPr>
        <w:t>评标委员会按照以下程序开展评标工</w:t>
      </w:r>
      <w:r>
        <w:rPr>
          <w:rFonts w:hint="eastAsia" w:cs="仿宋_GB2312"/>
          <w:spacing w:val="8"/>
          <w:sz w:val="24"/>
          <w:highlight w:val="none"/>
        </w:rPr>
        <w:t>作</w:t>
      </w:r>
      <w:r>
        <w:rPr>
          <w:rFonts w:hint="eastAsia" w:cs="仿宋_GB2312"/>
          <w:spacing w:val="10"/>
          <w:sz w:val="24"/>
          <w:highlight w:val="none"/>
        </w:rPr>
        <w:t>。</w:t>
      </w:r>
    </w:p>
    <w:p>
      <w:pPr>
        <w:spacing w:line="440" w:lineRule="exact"/>
        <w:ind w:firstLine="421"/>
        <w:rPr>
          <w:rFonts w:cs="仿宋_GB2312"/>
          <w:sz w:val="24"/>
          <w:highlight w:val="none"/>
        </w:rPr>
      </w:pPr>
      <w:r>
        <w:rPr>
          <w:rFonts w:hint="eastAsia" w:cs="仿宋_GB2312"/>
          <w:spacing w:val="3"/>
          <w:sz w:val="24"/>
          <w:highlight w:val="none"/>
        </w:rPr>
        <w:t xml:space="preserve">2.1 </w:t>
      </w:r>
      <w:r>
        <w:rPr>
          <w:rFonts w:hint="eastAsia" w:cs="仿宋_GB2312"/>
          <w:spacing w:val="5"/>
          <w:sz w:val="24"/>
          <w:highlight w:val="none"/>
        </w:rPr>
        <w:t>熟悉招标</w:t>
      </w:r>
      <w:r>
        <w:rPr>
          <w:rFonts w:hint="eastAsia" w:cs="仿宋_GB2312"/>
          <w:spacing w:val="4"/>
          <w:sz w:val="24"/>
          <w:highlight w:val="none"/>
        </w:rPr>
        <w:t>文件和评标办法</w:t>
      </w:r>
      <w:r>
        <w:rPr>
          <w:rFonts w:hint="eastAsia" w:cs="仿宋_GB2312"/>
          <w:spacing w:val="5"/>
          <w:sz w:val="24"/>
          <w:highlight w:val="none"/>
        </w:rPr>
        <w:t>；</w:t>
      </w:r>
    </w:p>
    <w:p>
      <w:pPr>
        <w:spacing w:line="440" w:lineRule="exact"/>
        <w:ind w:firstLine="421"/>
        <w:rPr>
          <w:rFonts w:cs="仿宋_GB2312"/>
          <w:sz w:val="24"/>
          <w:highlight w:val="none"/>
        </w:rPr>
      </w:pPr>
      <w:r>
        <w:rPr>
          <w:rFonts w:hint="eastAsia" w:cs="仿宋_GB2312"/>
          <w:sz w:val="24"/>
          <w:highlight w:val="none"/>
        </w:rPr>
        <w:t>2.2资格审查</w:t>
      </w:r>
      <w:r>
        <w:rPr>
          <w:rFonts w:hint="eastAsia" w:cs="仿宋_GB2312"/>
          <w:spacing w:val="-5"/>
          <w:sz w:val="24"/>
          <w:highlight w:val="none"/>
        </w:rPr>
        <w:t>；</w:t>
      </w:r>
    </w:p>
    <w:p>
      <w:pPr>
        <w:spacing w:line="440" w:lineRule="exact"/>
        <w:ind w:firstLine="421"/>
        <w:rPr>
          <w:rFonts w:cs="仿宋_GB2312"/>
          <w:sz w:val="24"/>
          <w:highlight w:val="none"/>
        </w:rPr>
      </w:pPr>
      <w:r>
        <w:rPr>
          <w:rFonts w:hint="eastAsia" w:cs="仿宋_GB2312"/>
          <w:sz w:val="24"/>
          <w:highlight w:val="none"/>
        </w:rPr>
        <w:t>2.3初步评审</w:t>
      </w:r>
      <w:r>
        <w:rPr>
          <w:rFonts w:hint="eastAsia" w:cs="仿宋_GB2312"/>
          <w:spacing w:val="-5"/>
          <w:sz w:val="24"/>
          <w:highlight w:val="none"/>
        </w:rPr>
        <w:t>；</w:t>
      </w:r>
    </w:p>
    <w:p>
      <w:pPr>
        <w:spacing w:line="440" w:lineRule="exact"/>
        <w:ind w:firstLine="563" w:firstLineChars="231"/>
        <w:rPr>
          <w:rFonts w:cs="仿宋_GB2312"/>
          <w:sz w:val="24"/>
          <w:highlight w:val="none"/>
        </w:rPr>
      </w:pPr>
      <w:r>
        <w:rPr>
          <w:rFonts w:hint="eastAsia" w:cs="仿宋_GB2312"/>
          <w:spacing w:val="2"/>
          <w:sz w:val="24"/>
          <w:highlight w:val="none"/>
        </w:rPr>
        <w:t>2.</w:t>
      </w:r>
      <w:r>
        <w:rPr>
          <w:rFonts w:hint="eastAsia" w:cs="仿宋_GB2312"/>
          <w:spacing w:val="1"/>
          <w:sz w:val="24"/>
          <w:highlight w:val="none"/>
        </w:rPr>
        <w:t>3.1符合性审查</w:t>
      </w:r>
      <w:r>
        <w:rPr>
          <w:rFonts w:hint="eastAsia" w:cs="仿宋_GB2312"/>
          <w:spacing w:val="2"/>
          <w:sz w:val="24"/>
          <w:highlight w:val="none"/>
        </w:rPr>
        <w:t>；</w:t>
      </w:r>
    </w:p>
    <w:p>
      <w:pPr>
        <w:spacing w:line="440" w:lineRule="exact"/>
        <w:ind w:firstLine="563" w:firstLineChars="231"/>
        <w:rPr>
          <w:rFonts w:cs="仿宋_GB2312"/>
          <w:sz w:val="24"/>
          <w:highlight w:val="none"/>
        </w:rPr>
      </w:pPr>
      <w:r>
        <w:rPr>
          <w:rFonts w:hint="eastAsia" w:cs="仿宋_GB2312"/>
          <w:spacing w:val="2"/>
          <w:sz w:val="24"/>
          <w:highlight w:val="none"/>
        </w:rPr>
        <w:t>2.3</w:t>
      </w:r>
      <w:r>
        <w:rPr>
          <w:rFonts w:hint="eastAsia" w:cs="仿宋_GB2312"/>
          <w:spacing w:val="1"/>
          <w:sz w:val="24"/>
          <w:highlight w:val="none"/>
        </w:rPr>
        <w:t>.2</w:t>
      </w:r>
      <w:r>
        <w:rPr>
          <w:rFonts w:hint="eastAsia" w:cs="仿宋_GB2312"/>
          <w:spacing w:val="2"/>
          <w:sz w:val="24"/>
          <w:highlight w:val="none"/>
        </w:rPr>
        <w:t xml:space="preserve"> 有效标的确定</w:t>
      </w:r>
      <w:r>
        <w:rPr>
          <w:rFonts w:hint="eastAsia" w:cs="仿宋_GB2312"/>
          <w:spacing w:val="3"/>
          <w:sz w:val="24"/>
          <w:highlight w:val="none"/>
        </w:rPr>
        <w:t>；</w:t>
      </w:r>
    </w:p>
    <w:p>
      <w:pPr>
        <w:spacing w:line="440" w:lineRule="exact"/>
        <w:ind w:firstLine="421"/>
        <w:rPr>
          <w:rFonts w:cs="仿宋_GB2312"/>
          <w:sz w:val="24"/>
          <w:highlight w:val="none"/>
        </w:rPr>
      </w:pPr>
      <w:r>
        <w:rPr>
          <w:rFonts w:hint="eastAsia" w:cs="仿宋_GB2312"/>
          <w:sz w:val="24"/>
          <w:highlight w:val="none"/>
        </w:rPr>
        <w:t>2.4详细评审</w:t>
      </w:r>
      <w:r>
        <w:rPr>
          <w:rFonts w:hint="eastAsia" w:cs="仿宋_GB2312"/>
          <w:spacing w:val="-5"/>
          <w:sz w:val="24"/>
          <w:highlight w:val="none"/>
        </w:rPr>
        <w:t>；</w:t>
      </w:r>
    </w:p>
    <w:p>
      <w:pPr>
        <w:spacing w:line="440" w:lineRule="exact"/>
        <w:ind w:firstLine="421"/>
        <w:rPr>
          <w:rFonts w:cs="仿宋_GB2312"/>
          <w:sz w:val="24"/>
          <w:highlight w:val="none"/>
        </w:rPr>
      </w:pPr>
      <w:r>
        <w:rPr>
          <w:rFonts w:hint="eastAsia" w:cs="仿宋_GB2312"/>
          <w:spacing w:val="3"/>
          <w:sz w:val="24"/>
          <w:highlight w:val="none"/>
        </w:rPr>
        <w:t xml:space="preserve">2.5 </w:t>
      </w:r>
      <w:r>
        <w:rPr>
          <w:rFonts w:hint="eastAsia" w:cs="仿宋_GB2312"/>
          <w:spacing w:val="5"/>
          <w:sz w:val="24"/>
          <w:highlight w:val="none"/>
        </w:rPr>
        <w:t>投标文</w:t>
      </w:r>
      <w:r>
        <w:rPr>
          <w:rFonts w:hint="eastAsia" w:cs="仿宋_GB2312"/>
          <w:spacing w:val="4"/>
          <w:sz w:val="24"/>
          <w:highlight w:val="none"/>
        </w:rPr>
        <w:t>件澄清</w:t>
      </w:r>
      <w:r>
        <w:rPr>
          <w:rFonts w:hint="eastAsia" w:cs="仿宋_GB2312"/>
          <w:spacing w:val="5"/>
          <w:sz w:val="24"/>
          <w:highlight w:val="none"/>
        </w:rPr>
        <w:t>、</w:t>
      </w:r>
      <w:r>
        <w:rPr>
          <w:rFonts w:hint="eastAsia" w:cs="仿宋_GB2312"/>
          <w:spacing w:val="4"/>
          <w:sz w:val="24"/>
          <w:highlight w:val="none"/>
        </w:rPr>
        <w:t>报价修正</w:t>
      </w:r>
      <w:r>
        <w:rPr>
          <w:rFonts w:hint="eastAsia" w:cs="仿宋_GB2312"/>
          <w:spacing w:val="5"/>
          <w:sz w:val="24"/>
          <w:highlight w:val="none"/>
        </w:rPr>
        <w:t>；</w:t>
      </w:r>
    </w:p>
    <w:p>
      <w:pPr>
        <w:spacing w:line="440" w:lineRule="exact"/>
        <w:ind w:firstLine="421"/>
        <w:rPr>
          <w:rFonts w:cs="仿宋_GB2312"/>
          <w:sz w:val="24"/>
          <w:highlight w:val="none"/>
        </w:rPr>
      </w:pPr>
      <w:r>
        <w:rPr>
          <w:rFonts w:hint="eastAsia" w:cs="仿宋_GB2312"/>
          <w:spacing w:val="3"/>
          <w:sz w:val="24"/>
          <w:highlight w:val="none"/>
        </w:rPr>
        <w:t xml:space="preserve">2.6 </w:t>
      </w:r>
      <w:r>
        <w:rPr>
          <w:rFonts w:hint="eastAsia" w:cs="仿宋_GB2312"/>
          <w:spacing w:val="4"/>
          <w:sz w:val="24"/>
          <w:highlight w:val="none"/>
        </w:rPr>
        <w:t>排序与推荐中标</w:t>
      </w:r>
      <w:r>
        <w:rPr>
          <w:rFonts w:hint="eastAsia" w:cs="仿宋_GB2312"/>
          <w:spacing w:val="3"/>
          <w:sz w:val="24"/>
          <w:highlight w:val="none"/>
        </w:rPr>
        <w:t>候选人</w:t>
      </w:r>
      <w:r>
        <w:rPr>
          <w:rFonts w:hint="eastAsia" w:cs="仿宋_GB2312"/>
          <w:spacing w:val="5"/>
          <w:sz w:val="24"/>
          <w:highlight w:val="none"/>
        </w:rPr>
        <w:t>；</w:t>
      </w:r>
    </w:p>
    <w:p>
      <w:pPr>
        <w:spacing w:line="440" w:lineRule="exact"/>
        <w:ind w:firstLine="421"/>
        <w:rPr>
          <w:rFonts w:cs="仿宋_GB2312"/>
          <w:sz w:val="24"/>
          <w:highlight w:val="none"/>
        </w:rPr>
      </w:pPr>
      <w:r>
        <w:rPr>
          <w:rFonts w:hint="eastAsia" w:cs="仿宋_GB2312"/>
          <w:spacing w:val="2"/>
          <w:sz w:val="24"/>
          <w:highlight w:val="none"/>
        </w:rPr>
        <w:t xml:space="preserve">2.7 </w:t>
      </w:r>
      <w:r>
        <w:rPr>
          <w:rFonts w:hint="eastAsia" w:cs="仿宋_GB2312"/>
          <w:spacing w:val="1"/>
          <w:sz w:val="24"/>
          <w:highlight w:val="none"/>
        </w:rPr>
        <w:t>完成评标报告</w:t>
      </w:r>
      <w:r>
        <w:rPr>
          <w:rFonts w:hint="eastAsia" w:cs="仿宋_GB2312"/>
          <w:spacing w:val="3"/>
          <w:sz w:val="24"/>
          <w:highlight w:val="none"/>
        </w:rPr>
        <w:t>。</w:t>
      </w:r>
    </w:p>
    <w:p>
      <w:pPr>
        <w:pStyle w:val="4"/>
        <w:spacing w:before="140" w:after="140" w:line="360" w:lineRule="auto"/>
        <w:jc w:val="center"/>
        <w:rPr>
          <w:rFonts w:ascii="Times New Roman" w:hAnsi="Times New Roman" w:eastAsia="仿宋_GB2312" w:cs="仿宋_GB2312"/>
          <w:sz w:val="24"/>
          <w:szCs w:val="24"/>
          <w:highlight w:val="none"/>
        </w:rPr>
      </w:pPr>
      <w:r>
        <w:rPr>
          <w:rFonts w:hint="eastAsia" w:ascii="Times New Roman" w:hAnsi="Times New Roman" w:eastAsia="仿宋_GB2312" w:cs="仿宋_GB2312"/>
          <w:sz w:val="24"/>
          <w:szCs w:val="24"/>
          <w:highlight w:val="none"/>
        </w:rPr>
        <w:t>3、资格审查</w:t>
      </w:r>
    </w:p>
    <w:p>
      <w:pPr>
        <w:spacing w:line="440" w:lineRule="exact"/>
        <w:ind w:right="2" w:firstLine="423"/>
        <w:rPr>
          <w:rFonts w:cs="仿宋_GB2312"/>
          <w:sz w:val="24"/>
          <w:highlight w:val="none"/>
        </w:rPr>
      </w:pPr>
      <w:r>
        <w:rPr>
          <w:rFonts w:hint="eastAsia" w:cs="仿宋_GB2312"/>
          <w:spacing w:val="6"/>
          <w:sz w:val="24"/>
          <w:highlight w:val="none"/>
        </w:rPr>
        <w:t xml:space="preserve">3.1 </w:t>
      </w:r>
      <w:r>
        <w:rPr>
          <w:rFonts w:hint="eastAsia" w:cs="仿宋_GB2312"/>
          <w:spacing w:val="11"/>
          <w:sz w:val="24"/>
          <w:highlight w:val="none"/>
        </w:rPr>
        <w:t>评标委员会按照招标文件的要求和规定，对投标人的投</w:t>
      </w:r>
      <w:r>
        <w:rPr>
          <w:rFonts w:hint="eastAsia" w:cs="仿宋_GB2312"/>
          <w:spacing w:val="10"/>
          <w:sz w:val="24"/>
          <w:highlight w:val="none"/>
        </w:rPr>
        <w:t>标资格进行审查</w:t>
      </w:r>
      <w:r>
        <w:rPr>
          <w:rFonts w:hint="eastAsia" w:cs="仿宋_GB2312"/>
          <w:spacing w:val="11"/>
          <w:sz w:val="24"/>
          <w:highlight w:val="none"/>
        </w:rPr>
        <w:t>。</w:t>
      </w:r>
      <w:r>
        <w:rPr>
          <w:rFonts w:hint="eastAsia" w:cs="仿宋_GB2312"/>
          <w:spacing w:val="10"/>
          <w:sz w:val="24"/>
          <w:highlight w:val="none"/>
        </w:rPr>
        <w:t>投标人存在以下情形</w:t>
      </w:r>
      <w:r>
        <w:rPr>
          <w:rFonts w:hint="eastAsia" w:cs="仿宋_GB2312"/>
          <w:spacing w:val="9"/>
          <w:sz w:val="24"/>
          <w:highlight w:val="none"/>
        </w:rPr>
        <w:t>之一的</w:t>
      </w:r>
      <w:r>
        <w:rPr>
          <w:rFonts w:hint="eastAsia" w:cs="仿宋_GB2312"/>
          <w:spacing w:val="11"/>
          <w:sz w:val="24"/>
          <w:highlight w:val="none"/>
        </w:rPr>
        <w:t>，</w:t>
      </w:r>
      <w:r>
        <w:rPr>
          <w:rFonts w:hint="eastAsia" w:cs="仿宋_GB2312"/>
          <w:spacing w:val="9"/>
          <w:sz w:val="24"/>
          <w:highlight w:val="none"/>
        </w:rPr>
        <w:t>资格审查不予通过</w:t>
      </w:r>
      <w:r>
        <w:rPr>
          <w:rFonts w:hint="eastAsia" w:cs="仿宋_GB2312"/>
          <w:spacing w:val="11"/>
          <w:sz w:val="24"/>
          <w:highlight w:val="none"/>
        </w:rPr>
        <w:t>，</w:t>
      </w:r>
      <w:r>
        <w:rPr>
          <w:rFonts w:hint="eastAsia" w:cs="仿宋_GB2312"/>
          <w:spacing w:val="9"/>
          <w:sz w:val="24"/>
          <w:highlight w:val="none"/>
        </w:rPr>
        <w:t>否决其投标</w:t>
      </w:r>
      <w:r>
        <w:rPr>
          <w:rFonts w:hint="eastAsia" w:cs="仿宋_GB2312"/>
          <w:spacing w:val="11"/>
          <w:sz w:val="24"/>
          <w:highlight w:val="none"/>
        </w:rPr>
        <w:t>，</w:t>
      </w:r>
      <w:r>
        <w:rPr>
          <w:rFonts w:hint="eastAsia" w:cs="仿宋_GB2312"/>
          <w:spacing w:val="9"/>
          <w:sz w:val="24"/>
          <w:highlight w:val="none"/>
        </w:rPr>
        <w:t>不再进行后续评审</w:t>
      </w:r>
      <w:r>
        <w:rPr>
          <w:rFonts w:hint="eastAsia" w:cs="仿宋_GB2312"/>
          <w:spacing w:val="11"/>
          <w:sz w:val="24"/>
          <w:highlight w:val="none"/>
        </w:rPr>
        <w:t>：</w:t>
      </w:r>
    </w:p>
    <w:p>
      <w:pPr>
        <w:spacing w:line="440" w:lineRule="exact"/>
        <w:ind w:firstLine="429"/>
        <w:rPr>
          <w:rFonts w:cs="仿宋_GB2312"/>
          <w:bCs/>
          <w:sz w:val="24"/>
          <w:highlight w:val="none"/>
          <w:u w:val="single"/>
        </w:rPr>
      </w:pPr>
      <w:r>
        <w:rPr>
          <w:rFonts w:hint="eastAsia" w:cs="仿宋_GB2312"/>
          <w:bCs/>
          <w:spacing w:val="9"/>
          <w:sz w:val="24"/>
          <w:highlight w:val="none"/>
          <w:u w:val="single"/>
        </w:rPr>
        <w:t>（</w:t>
      </w:r>
      <w:r>
        <w:rPr>
          <w:rFonts w:hint="eastAsia" w:cs="仿宋_GB2312"/>
          <w:bCs/>
          <w:spacing w:val="5"/>
          <w:sz w:val="24"/>
          <w:highlight w:val="none"/>
          <w:u w:val="single"/>
        </w:rPr>
        <w:t>1</w:t>
      </w:r>
      <w:r>
        <w:rPr>
          <w:rFonts w:hint="eastAsia" w:cs="仿宋_GB2312"/>
          <w:bCs/>
          <w:spacing w:val="10"/>
          <w:sz w:val="24"/>
          <w:highlight w:val="none"/>
          <w:u w:val="single"/>
        </w:rPr>
        <w:t>）</w:t>
      </w:r>
      <w:r>
        <w:rPr>
          <w:rFonts w:hint="eastAsia" w:cs="仿宋_GB2312"/>
          <w:bCs/>
          <w:spacing w:val="9"/>
          <w:sz w:val="24"/>
          <w:highlight w:val="none"/>
          <w:u w:val="single"/>
        </w:rPr>
        <w:t>投标人不满足招标公告中载明的投</w:t>
      </w:r>
      <w:r>
        <w:rPr>
          <w:rFonts w:hint="eastAsia" w:cs="仿宋_GB2312"/>
          <w:bCs/>
          <w:spacing w:val="8"/>
          <w:sz w:val="24"/>
          <w:highlight w:val="none"/>
          <w:u w:val="single"/>
        </w:rPr>
        <w:t>标人资格条件的</w:t>
      </w:r>
      <w:r>
        <w:rPr>
          <w:rFonts w:hint="eastAsia" w:cs="仿宋_GB2312"/>
          <w:bCs/>
          <w:spacing w:val="10"/>
          <w:sz w:val="24"/>
          <w:highlight w:val="none"/>
          <w:u w:val="single"/>
        </w:rPr>
        <w:t>；</w:t>
      </w:r>
    </w:p>
    <w:p>
      <w:pPr>
        <w:spacing w:line="440" w:lineRule="exact"/>
        <w:ind w:firstLine="429"/>
        <w:rPr>
          <w:rFonts w:cs="仿宋_GB2312"/>
          <w:bCs/>
          <w:spacing w:val="10"/>
          <w:sz w:val="24"/>
          <w:highlight w:val="none"/>
          <w:u w:val="single"/>
        </w:rPr>
      </w:pPr>
      <w:r>
        <w:rPr>
          <w:rFonts w:hint="eastAsia" w:cs="仿宋_GB2312"/>
          <w:bCs/>
          <w:spacing w:val="9"/>
          <w:sz w:val="24"/>
          <w:highlight w:val="none"/>
          <w:u w:val="single"/>
        </w:rPr>
        <w:t>（</w:t>
      </w:r>
      <w:r>
        <w:rPr>
          <w:rFonts w:hint="eastAsia" w:cs="仿宋_GB2312"/>
          <w:bCs/>
          <w:spacing w:val="6"/>
          <w:sz w:val="24"/>
          <w:highlight w:val="none"/>
          <w:u w:val="single"/>
        </w:rPr>
        <w:t>2</w:t>
      </w:r>
      <w:r>
        <w:rPr>
          <w:rFonts w:hint="eastAsia" w:cs="仿宋_GB2312"/>
          <w:bCs/>
          <w:spacing w:val="10"/>
          <w:sz w:val="24"/>
          <w:highlight w:val="none"/>
          <w:u w:val="single"/>
        </w:rPr>
        <w:t>）</w:t>
      </w:r>
      <w:r>
        <w:rPr>
          <w:rFonts w:hint="eastAsia" w:cs="仿宋_GB2312"/>
          <w:bCs/>
          <w:spacing w:val="9"/>
          <w:sz w:val="24"/>
          <w:highlight w:val="none"/>
          <w:u w:val="single"/>
        </w:rPr>
        <w:t>存在法律</w:t>
      </w:r>
      <w:r>
        <w:rPr>
          <w:rFonts w:hint="eastAsia" w:cs="仿宋_GB2312"/>
          <w:bCs/>
          <w:spacing w:val="10"/>
          <w:sz w:val="24"/>
          <w:highlight w:val="none"/>
          <w:u w:val="single"/>
        </w:rPr>
        <w:t>、</w:t>
      </w:r>
      <w:r>
        <w:rPr>
          <w:rFonts w:hint="eastAsia" w:cs="仿宋_GB2312"/>
          <w:bCs/>
          <w:spacing w:val="9"/>
          <w:sz w:val="24"/>
          <w:highlight w:val="none"/>
          <w:u w:val="single"/>
        </w:rPr>
        <w:t>法规规定</w:t>
      </w:r>
      <w:r>
        <w:rPr>
          <w:rFonts w:hint="eastAsia" w:cs="仿宋_GB2312"/>
          <w:bCs/>
          <w:spacing w:val="8"/>
          <w:sz w:val="24"/>
          <w:highlight w:val="none"/>
          <w:u w:val="single"/>
        </w:rPr>
        <w:t>的其他否决投标情形的</w:t>
      </w:r>
      <w:r>
        <w:rPr>
          <w:rFonts w:hint="eastAsia" w:cs="仿宋_GB2312"/>
          <w:bCs/>
          <w:spacing w:val="10"/>
          <w:sz w:val="24"/>
          <w:highlight w:val="none"/>
          <w:u w:val="single"/>
        </w:rPr>
        <w:t>；</w:t>
      </w:r>
    </w:p>
    <w:p>
      <w:pPr>
        <w:spacing w:line="440" w:lineRule="exact"/>
        <w:ind w:left="1" w:firstLine="421"/>
        <w:rPr>
          <w:rFonts w:cs="仿宋_GB2312"/>
          <w:spacing w:val="4"/>
          <w:sz w:val="24"/>
          <w:highlight w:val="none"/>
        </w:rPr>
      </w:pPr>
      <w:r>
        <w:rPr>
          <w:rFonts w:hint="eastAsia" w:cs="仿宋_GB2312"/>
          <w:spacing w:val="6"/>
          <w:sz w:val="24"/>
          <w:highlight w:val="none"/>
        </w:rPr>
        <w:t xml:space="preserve">3.2 </w:t>
      </w:r>
      <w:r>
        <w:rPr>
          <w:rFonts w:hint="eastAsia" w:cs="仿宋_GB2312"/>
          <w:spacing w:val="11"/>
          <w:sz w:val="24"/>
          <w:highlight w:val="none"/>
        </w:rPr>
        <w:t>资格审查过程中，评标委员会可以要求投标人提交资格审查所</w:t>
      </w:r>
      <w:r>
        <w:rPr>
          <w:rFonts w:hint="eastAsia" w:cs="仿宋_GB2312"/>
          <w:spacing w:val="10"/>
          <w:sz w:val="24"/>
          <w:highlight w:val="none"/>
        </w:rPr>
        <w:t>需的有关证明的原件</w:t>
      </w:r>
      <w:r>
        <w:rPr>
          <w:rFonts w:hint="eastAsia" w:cs="仿宋_GB2312"/>
          <w:spacing w:val="11"/>
          <w:sz w:val="24"/>
          <w:highlight w:val="none"/>
        </w:rPr>
        <w:t>，</w:t>
      </w:r>
      <w:r>
        <w:rPr>
          <w:rFonts w:hint="eastAsia" w:cs="仿宋_GB2312"/>
          <w:spacing w:val="10"/>
          <w:sz w:val="24"/>
          <w:highlight w:val="none"/>
        </w:rPr>
        <w:t>以便</w:t>
      </w:r>
      <w:r>
        <w:rPr>
          <w:rFonts w:hint="eastAsia" w:cs="仿宋_GB2312"/>
          <w:spacing w:val="3"/>
          <w:sz w:val="24"/>
          <w:highlight w:val="none"/>
        </w:rPr>
        <w:t>核验</w:t>
      </w:r>
      <w:r>
        <w:rPr>
          <w:rFonts w:hint="eastAsia" w:cs="仿宋_GB2312"/>
          <w:spacing w:val="4"/>
          <w:sz w:val="24"/>
          <w:highlight w:val="none"/>
        </w:rPr>
        <w:t>。</w:t>
      </w:r>
    </w:p>
    <w:p>
      <w:pPr>
        <w:widowControl/>
        <w:spacing w:line="440" w:lineRule="exact"/>
        <w:ind w:right="2" w:firstLine="423"/>
        <w:jc w:val="left"/>
        <w:rPr>
          <w:rFonts w:cs="仿宋_GB2312"/>
          <w:spacing w:val="11"/>
          <w:sz w:val="24"/>
          <w:highlight w:val="none"/>
        </w:rPr>
      </w:pPr>
      <w:r>
        <w:rPr>
          <w:rFonts w:hint="eastAsia" w:cs="仿宋_GB2312"/>
          <w:spacing w:val="11"/>
          <w:sz w:val="24"/>
          <w:highlight w:val="none"/>
        </w:rPr>
        <w:t>3.3 与招标人存在利害关系可能影响招标公正性的法人、其他组织或者个人，不得参加投标。单位负责人为同一人或者存在控股、管理关系的不同单位，不得参加同一标段投标或者未划分标段的同一招标项目投标。违反前两款规定的，相关投标均无效。</w:t>
      </w:r>
    </w:p>
    <w:p>
      <w:pPr>
        <w:pStyle w:val="4"/>
        <w:spacing w:before="140" w:after="140" w:line="360" w:lineRule="auto"/>
        <w:jc w:val="center"/>
        <w:rPr>
          <w:rFonts w:ascii="Times New Roman" w:hAnsi="Times New Roman" w:eastAsia="仿宋_GB2312" w:cs="仿宋_GB2312"/>
          <w:sz w:val="24"/>
          <w:szCs w:val="24"/>
          <w:highlight w:val="none"/>
        </w:rPr>
      </w:pPr>
      <w:r>
        <w:rPr>
          <w:rFonts w:hint="eastAsia" w:ascii="Times New Roman" w:hAnsi="Times New Roman" w:eastAsia="仿宋_GB2312" w:cs="仿宋_GB2312"/>
          <w:sz w:val="24"/>
          <w:szCs w:val="24"/>
          <w:highlight w:val="none"/>
        </w:rPr>
        <w:t>4、初步评审</w:t>
      </w:r>
    </w:p>
    <w:p>
      <w:pPr>
        <w:spacing w:line="440" w:lineRule="exact"/>
        <w:ind w:firstLine="418"/>
        <w:contextualSpacing/>
        <w:outlineLvl w:val="6"/>
        <w:rPr>
          <w:rFonts w:cs="仿宋_GB2312"/>
          <w:sz w:val="24"/>
          <w:highlight w:val="none"/>
        </w:rPr>
      </w:pPr>
      <w:r>
        <w:rPr>
          <w:rFonts w:hint="eastAsia" w:cs="仿宋_GB2312"/>
          <w:spacing w:val="1"/>
          <w:sz w:val="24"/>
          <w:highlight w:val="none"/>
        </w:rPr>
        <w:t xml:space="preserve">4.1 </w:t>
      </w:r>
      <w:r>
        <w:rPr>
          <w:rFonts w:hint="eastAsia" w:cs="仿宋_GB2312"/>
          <w:spacing w:val="2"/>
          <w:sz w:val="24"/>
          <w:highlight w:val="none"/>
        </w:rPr>
        <w:t>符合性审</w:t>
      </w:r>
      <w:r>
        <w:rPr>
          <w:rFonts w:hint="eastAsia" w:cs="仿宋_GB2312"/>
          <w:spacing w:val="1"/>
          <w:sz w:val="24"/>
          <w:highlight w:val="none"/>
        </w:rPr>
        <w:t>查</w:t>
      </w:r>
    </w:p>
    <w:p>
      <w:pPr>
        <w:spacing w:line="440" w:lineRule="exact"/>
        <w:ind w:firstLine="418"/>
        <w:contextualSpacing/>
        <w:rPr>
          <w:rFonts w:cs="仿宋_GB2312"/>
          <w:sz w:val="24"/>
          <w:highlight w:val="none"/>
        </w:rPr>
      </w:pPr>
      <w:r>
        <w:rPr>
          <w:rFonts w:hint="eastAsia" w:cs="仿宋_GB2312"/>
          <w:spacing w:val="11"/>
          <w:sz w:val="24"/>
          <w:highlight w:val="none"/>
        </w:rPr>
        <w:t>评标委员会应当对通过资格审查的投标人的投标文件进</w:t>
      </w:r>
      <w:r>
        <w:rPr>
          <w:rFonts w:hint="eastAsia" w:cs="仿宋_GB2312"/>
          <w:spacing w:val="10"/>
          <w:sz w:val="24"/>
          <w:highlight w:val="none"/>
        </w:rPr>
        <w:t>行符合性审查</w:t>
      </w:r>
      <w:r>
        <w:rPr>
          <w:rFonts w:hint="eastAsia" w:cs="仿宋_GB2312"/>
          <w:spacing w:val="11"/>
          <w:sz w:val="24"/>
          <w:highlight w:val="none"/>
        </w:rPr>
        <w:t>。</w:t>
      </w:r>
      <w:r>
        <w:rPr>
          <w:rFonts w:hint="eastAsia" w:cs="仿宋_GB2312"/>
          <w:spacing w:val="10"/>
          <w:sz w:val="24"/>
          <w:highlight w:val="none"/>
        </w:rPr>
        <w:t>投标人存在以下情形之</w:t>
      </w:r>
      <w:r>
        <w:rPr>
          <w:rFonts w:hint="eastAsia" w:cs="仿宋_GB2312"/>
          <w:spacing w:val="9"/>
          <w:position w:val="2"/>
          <w:sz w:val="24"/>
          <w:highlight w:val="none"/>
        </w:rPr>
        <w:t>一</w:t>
      </w:r>
      <w:r>
        <w:rPr>
          <w:rFonts w:hint="eastAsia" w:cs="仿宋_GB2312"/>
          <w:spacing w:val="12"/>
          <w:position w:val="2"/>
          <w:sz w:val="24"/>
          <w:highlight w:val="none"/>
        </w:rPr>
        <w:t>，</w:t>
      </w:r>
      <w:r>
        <w:rPr>
          <w:rFonts w:hint="eastAsia" w:cs="仿宋_GB2312"/>
          <w:spacing w:val="9"/>
          <w:position w:val="2"/>
          <w:sz w:val="24"/>
          <w:highlight w:val="none"/>
        </w:rPr>
        <w:t>符合性审查不予通过</w:t>
      </w:r>
      <w:r>
        <w:rPr>
          <w:rFonts w:hint="eastAsia" w:cs="仿宋_GB2312"/>
          <w:spacing w:val="12"/>
          <w:position w:val="2"/>
          <w:sz w:val="24"/>
          <w:highlight w:val="none"/>
        </w:rPr>
        <w:t>，</w:t>
      </w:r>
      <w:r>
        <w:rPr>
          <w:rFonts w:hint="eastAsia" w:cs="仿宋_GB2312"/>
          <w:spacing w:val="9"/>
          <w:position w:val="2"/>
          <w:sz w:val="24"/>
          <w:highlight w:val="none"/>
        </w:rPr>
        <w:t>否决其投</w:t>
      </w:r>
      <w:r>
        <w:rPr>
          <w:rFonts w:hint="eastAsia" w:cs="仿宋_GB2312"/>
          <w:spacing w:val="8"/>
          <w:position w:val="2"/>
          <w:sz w:val="24"/>
          <w:highlight w:val="none"/>
        </w:rPr>
        <w:t>标</w:t>
      </w:r>
      <w:r>
        <w:rPr>
          <w:rFonts w:hint="eastAsia" w:cs="仿宋_GB2312"/>
          <w:spacing w:val="12"/>
          <w:position w:val="2"/>
          <w:sz w:val="24"/>
          <w:highlight w:val="none"/>
        </w:rPr>
        <w:t>，</w:t>
      </w:r>
      <w:r>
        <w:rPr>
          <w:rFonts w:hint="eastAsia" w:cs="仿宋_GB2312"/>
          <w:spacing w:val="8"/>
          <w:position w:val="2"/>
          <w:sz w:val="24"/>
          <w:highlight w:val="none"/>
        </w:rPr>
        <w:t>不再进行后续评审</w:t>
      </w:r>
      <w:r>
        <w:rPr>
          <w:rFonts w:hint="eastAsia" w:cs="仿宋_GB2312"/>
          <w:spacing w:val="12"/>
          <w:position w:val="2"/>
          <w:sz w:val="24"/>
          <w:highlight w:val="none"/>
        </w:rPr>
        <w:t>：</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（1）投标文件未按招标文件的要求签署和盖章的；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（2）投标文件中未提供营业执照（事业单位法人证书、社会团体法人登记证书或其他组织登记证明文件）的；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w:t>
      </w:r>
      <w:r>
        <w:rPr>
          <w:rFonts w:hint="eastAsia" w:cs="仿宋_GB2312"/>
          <w:sz w:val="24"/>
          <w:highlight w:val="none"/>
          <w:u w:val="single"/>
        </w:rPr>
        <w:t>3</w:t>
      </w:r>
      <w:r>
        <w:rPr>
          <w:rFonts w:hint="eastAsia" w:cs="仿宋_GB2312"/>
          <w:sz w:val="24"/>
          <w:highlight w:val="none"/>
          <w:u w:val="single"/>
          <w:lang w:val="zh-CN"/>
        </w:rPr>
        <w:t>）投标人未按招标文件的要求递交投标保证金的（详见投标人须知第</w:t>
      </w:r>
      <w:r>
        <w:rPr>
          <w:rFonts w:hint="eastAsia" w:cs="仿宋_GB2312"/>
          <w:sz w:val="24"/>
          <w:highlight w:val="none"/>
          <w:u w:val="single"/>
        </w:rPr>
        <w:t>4.5.2</w:t>
      </w:r>
      <w:r>
        <w:rPr>
          <w:rFonts w:hint="eastAsia" w:cs="仿宋_GB2312"/>
          <w:sz w:val="24"/>
          <w:highlight w:val="none"/>
          <w:u w:val="single"/>
          <w:lang w:val="zh-CN"/>
        </w:rPr>
        <w:t>）；</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w:t>
      </w:r>
      <w:r>
        <w:rPr>
          <w:rFonts w:hint="eastAsia" w:cs="仿宋_GB2312"/>
          <w:sz w:val="24"/>
          <w:highlight w:val="none"/>
          <w:u w:val="single"/>
        </w:rPr>
        <w:t>4</w:t>
      </w:r>
      <w:r>
        <w:rPr>
          <w:rFonts w:hint="eastAsia" w:cs="仿宋_GB2312"/>
          <w:sz w:val="24"/>
          <w:highlight w:val="none"/>
          <w:u w:val="single"/>
          <w:lang w:val="zh-CN"/>
        </w:rPr>
        <w:t>）组成联合体投标的，投标文件未附联合体各方共同投标协议的；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（5）投标文件不符合招标文件实质性要求（第三章“用户需求及技术要求”中具体条款用“▲”标注）的；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（6）同一投标人提交两个以上不同的投标文件或者投标报价，且投标文件中未声明哪一个有效的（招标文件要求提交备选投标的除外）；</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（7）投标报价超出招标文件规定的限价的；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（8）投标文件未按规定的格式（招标文件第五章“投标文件格式”）编制或内容不全或关键字迹模糊、无法辨认的；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（9）投标文件中承诺的投标有效期少于招标文件中载明的投标有效期的；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（10）投标人根据招标文件规定及投标内容对招标人所作的任何合法承诺或响应存在与实际不符的；</w:t>
      </w:r>
    </w:p>
    <w:p>
      <w:pPr>
        <w:spacing w:line="360" w:lineRule="auto"/>
        <w:ind w:firstLine="480" w:firstLineChars="200"/>
        <w:rPr>
          <w:rFonts w:cs="仿宋_GB2312"/>
          <w:sz w:val="24"/>
          <w:highlight w:val="none"/>
          <w:u w:val="single"/>
          <w:lang w:val="zh-CN"/>
        </w:rPr>
      </w:pPr>
      <w:r>
        <w:rPr>
          <w:rFonts w:hint="eastAsia" w:cs="仿宋_GB2312"/>
          <w:sz w:val="24"/>
          <w:highlight w:val="none"/>
          <w:u w:val="single"/>
          <w:lang w:val="zh-CN"/>
        </w:rPr>
        <w:t>（11）投标人对根据修正原则修正后的报价不予确认的；</w:t>
      </w:r>
    </w:p>
    <w:p>
      <w:pPr>
        <w:spacing w:line="360" w:lineRule="auto"/>
        <w:ind w:firstLine="480" w:firstLineChars="200"/>
        <w:rPr>
          <w:rFonts w:cs="仿宋_GB2312"/>
          <w:sz w:val="24"/>
          <w:highlight w:val="none"/>
          <w:u w:val="single"/>
        </w:rPr>
      </w:pPr>
      <w:r>
        <w:rPr>
          <w:rFonts w:hint="eastAsia" w:cs="仿宋_GB2312"/>
          <w:sz w:val="24"/>
          <w:highlight w:val="none"/>
          <w:u w:val="single"/>
        </w:rPr>
        <w:t>（12）存在法律、法规规定的其他否决投标情形的。</w:t>
      </w:r>
    </w:p>
    <w:p>
      <w:pPr>
        <w:spacing w:line="360" w:lineRule="auto"/>
        <w:ind w:firstLine="480" w:firstLineChars="200"/>
        <w:rPr>
          <w:rFonts w:cs="仿宋_GB2312"/>
          <w:sz w:val="24"/>
          <w:highlight w:val="none"/>
          <w:u w:val="single"/>
        </w:rPr>
      </w:pPr>
      <w:r>
        <w:rPr>
          <w:rFonts w:hint="eastAsia" w:cs="仿宋_GB2312"/>
          <w:sz w:val="24"/>
          <w:highlight w:val="none"/>
          <w:u w:val="single"/>
        </w:rPr>
        <w:t>（13）经评标委员会审核，投标人符合以下情形之一的，视为投标人串通投标的，其投标无效：</w:t>
      </w:r>
    </w:p>
    <w:p>
      <w:pPr>
        <w:spacing w:line="360" w:lineRule="auto"/>
        <w:ind w:firstLine="480" w:firstLineChars="200"/>
        <w:rPr>
          <w:rFonts w:cs="仿宋_GB2312"/>
          <w:sz w:val="24"/>
          <w:highlight w:val="none"/>
          <w:u w:val="single"/>
        </w:rPr>
      </w:pPr>
      <w:r>
        <w:rPr>
          <w:rFonts w:hint="eastAsia" w:cs="仿宋_GB2312"/>
          <w:sz w:val="24"/>
          <w:highlight w:val="none"/>
          <w:u w:val="single"/>
        </w:rPr>
        <w:t xml:space="preserve">①不同投标人的投标文件由同一单位或者个人编制； </w:t>
      </w:r>
    </w:p>
    <w:p>
      <w:pPr>
        <w:spacing w:line="360" w:lineRule="auto"/>
        <w:ind w:firstLine="480" w:firstLineChars="200"/>
        <w:rPr>
          <w:rFonts w:cs="仿宋_GB2312"/>
          <w:sz w:val="24"/>
          <w:highlight w:val="none"/>
          <w:u w:val="single"/>
        </w:rPr>
      </w:pPr>
      <w:r>
        <w:rPr>
          <w:rFonts w:hint="eastAsia" w:cs="仿宋_GB2312"/>
          <w:sz w:val="24"/>
          <w:highlight w:val="none"/>
          <w:u w:val="single"/>
        </w:rPr>
        <w:t xml:space="preserve">②不同投标人委托同一单位或者个人办理投标事宜； </w:t>
      </w:r>
    </w:p>
    <w:p>
      <w:pPr>
        <w:spacing w:line="360" w:lineRule="auto"/>
        <w:ind w:firstLine="480" w:firstLineChars="200"/>
        <w:rPr>
          <w:rFonts w:cs="仿宋_GB2312"/>
          <w:sz w:val="24"/>
          <w:highlight w:val="none"/>
          <w:u w:val="single"/>
        </w:rPr>
      </w:pPr>
      <w:r>
        <w:rPr>
          <w:rFonts w:hint="eastAsia" w:cs="仿宋_GB2312"/>
          <w:sz w:val="24"/>
          <w:highlight w:val="none"/>
          <w:u w:val="single"/>
        </w:rPr>
        <w:t xml:space="preserve">③不同投标人的投标文件载明的项目管理成员或者联系人员为同一人； </w:t>
      </w:r>
    </w:p>
    <w:p>
      <w:pPr>
        <w:spacing w:line="360" w:lineRule="auto"/>
        <w:ind w:firstLine="480" w:firstLineChars="200"/>
        <w:rPr>
          <w:rFonts w:cs="仿宋_GB2312"/>
          <w:sz w:val="24"/>
          <w:highlight w:val="none"/>
          <w:u w:val="single"/>
        </w:rPr>
      </w:pPr>
      <w:r>
        <w:rPr>
          <w:rFonts w:hint="eastAsia" w:cs="仿宋_GB2312"/>
          <w:sz w:val="24"/>
          <w:highlight w:val="none"/>
          <w:u w:val="single"/>
        </w:rPr>
        <w:t xml:space="preserve">④不同投标人的投标文件异常一致或者投标报价呈规律性差异； </w:t>
      </w:r>
    </w:p>
    <w:p>
      <w:pPr>
        <w:spacing w:line="360" w:lineRule="auto"/>
        <w:ind w:firstLine="480" w:firstLineChars="200"/>
        <w:rPr>
          <w:rFonts w:cs="仿宋_GB2312"/>
          <w:sz w:val="24"/>
          <w:highlight w:val="none"/>
          <w:u w:val="single"/>
        </w:rPr>
      </w:pPr>
      <w:r>
        <w:rPr>
          <w:rFonts w:hint="eastAsia" w:cs="仿宋_GB2312"/>
          <w:sz w:val="24"/>
          <w:highlight w:val="none"/>
          <w:u w:val="single"/>
        </w:rPr>
        <w:t xml:space="preserve">⑤不同投标人的投标文件相互混装； </w:t>
      </w:r>
    </w:p>
    <w:p>
      <w:pPr>
        <w:spacing w:line="360" w:lineRule="auto"/>
        <w:ind w:firstLine="480" w:firstLineChars="200"/>
        <w:rPr>
          <w:rFonts w:cs="仿宋_GB2312"/>
          <w:sz w:val="24"/>
          <w:highlight w:val="none"/>
          <w:u w:val="single"/>
        </w:rPr>
      </w:pPr>
      <w:r>
        <w:rPr>
          <w:rFonts w:hint="eastAsia" w:cs="仿宋_GB2312"/>
          <w:sz w:val="24"/>
          <w:highlight w:val="none"/>
          <w:u w:val="single"/>
        </w:rPr>
        <w:t>⑥不同投标人的投标保证金从同一单位或者个人的账户转出。</w:t>
      </w:r>
    </w:p>
    <w:p>
      <w:pPr>
        <w:pStyle w:val="8"/>
        <w:ind w:firstLine="480" w:firstLineChars="200"/>
        <w:rPr>
          <w:rFonts w:eastAsia="仿宋_GB2312" w:cs="仿宋_GB2312"/>
          <w:sz w:val="24"/>
          <w:szCs w:val="24"/>
          <w:highlight w:val="none"/>
          <w:u w:val="single"/>
        </w:rPr>
      </w:pPr>
      <w:r>
        <w:rPr>
          <w:rFonts w:hint="eastAsia" w:eastAsia="仿宋_GB2312" w:cs="仿宋_GB2312"/>
          <w:sz w:val="24"/>
          <w:szCs w:val="24"/>
          <w:highlight w:val="none"/>
          <w:u w:val="single"/>
        </w:rPr>
        <w:t>（14）投标人拒不按照要求对投标文件进行澄清、说明、补正的。或评标委员会根据招标文件规定对投标文件的计算错误进行修正后，投标人不接受修正后的投标报价的；</w:t>
      </w:r>
    </w:p>
    <w:p>
      <w:pPr>
        <w:spacing w:line="360" w:lineRule="auto"/>
        <w:ind w:firstLine="484" w:firstLineChars="200"/>
        <w:rPr>
          <w:rFonts w:cs="仿宋_GB2312"/>
          <w:spacing w:val="1"/>
          <w:sz w:val="24"/>
          <w:highlight w:val="none"/>
        </w:rPr>
      </w:pPr>
      <w:r>
        <w:rPr>
          <w:rFonts w:hint="eastAsia" w:cs="仿宋_GB2312"/>
          <w:spacing w:val="1"/>
          <w:sz w:val="24"/>
          <w:highlight w:val="none"/>
        </w:rPr>
        <w:t xml:space="preserve">4.2 </w:t>
      </w:r>
      <w:r>
        <w:rPr>
          <w:rFonts w:hint="eastAsia" w:cs="仿宋_GB2312"/>
          <w:spacing w:val="2"/>
          <w:sz w:val="24"/>
          <w:highlight w:val="none"/>
        </w:rPr>
        <w:t>有效标认</w:t>
      </w:r>
      <w:r>
        <w:rPr>
          <w:rFonts w:hint="eastAsia" w:cs="仿宋_GB2312"/>
          <w:spacing w:val="1"/>
          <w:sz w:val="24"/>
          <w:highlight w:val="none"/>
        </w:rPr>
        <w:t>定</w:t>
      </w:r>
    </w:p>
    <w:p>
      <w:pPr>
        <w:adjustRightInd w:val="0"/>
        <w:snapToGrid w:val="0"/>
        <w:spacing w:line="360" w:lineRule="auto"/>
        <w:ind w:firstLine="512" w:firstLineChars="200"/>
        <w:rPr>
          <w:rFonts w:cs="仿宋_GB2312"/>
          <w:bCs/>
          <w:spacing w:val="9"/>
          <w:sz w:val="24"/>
          <w:highlight w:val="none"/>
          <w:u w:val="single"/>
        </w:rPr>
      </w:pPr>
      <w:r>
        <w:rPr>
          <w:rFonts w:hint="eastAsia" w:cs="仿宋_GB2312"/>
          <w:bCs/>
          <w:spacing w:val="8"/>
          <w:sz w:val="24"/>
          <w:highlight w:val="none"/>
          <w:u w:val="single"/>
        </w:rPr>
        <w:t>通过资格审查和符合性审查的有效投标人不足</w:t>
      </w:r>
      <w:r>
        <w:rPr>
          <w:rFonts w:hint="eastAsia" w:cs="仿宋_GB2312"/>
          <w:bCs/>
          <w:spacing w:val="5"/>
          <w:sz w:val="24"/>
          <w:highlight w:val="none"/>
          <w:u w:val="single"/>
        </w:rPr>
        <w:t>3家</w:t>
      </w:r>
      <w:r>
        <w:rPr>
          <w:rFonts w:hint="eastAsia" w:cs="仿宋_GB2312"/>
          <w:bCs/>
          <w:spacing w:val="8"/>
          <w:sz w:val="24"/>
          <w:highlight w:val="none"/>
          <w:u w:val="single"/>
        </w:rPr>
        <w:t>的</w:t>
      </w:r>
      <w:r>
        <w:rPr>
          <w:rFonts w:hint="eastAsia" w:cs="仿宋_GB2312"/>
          <w:bCs/>
          <w:spacing w:val="10"/>
          <w:sz w:val="24"/>
          <w:highlight w:val="none"/>
          <w:u w:val="single"/>
        </w:rPr>
        <w:t>，</w:t>
      </w:r>
      <w:r>
        <w:rPr>
          <w:rFonts w:hint="eastAsia" w:cs="仿宋_GB2312"/>
          <w:bCs/>
          <w:spacing w:val="9"/>
          <w:sz w:val="24"/>
          <w:highlight w:val="none"/>
          <w:u w:val="single"/>
        </w:rPr>
        <w:t>评标委员会应认定本次投标是否具有竞争性，若评标委员会认定本次投标明显缺乏竞争的，可以否决所有投标。</w:t>
      </w:r>
    </w:p>
    <w:p>
      <w:pPr>
        <w:spacing w:line="360" w:lineRule="auto"/>
        <w:jc w:val="center"/>
        <w:rPr>
          <w:rFonts w:cs="仿宋_GB2312"/>
          <w:b/>
          <w:bCs/>
          <w:sz w:val="24"/>
          <w:highlight w:val="none"/>
        </w:rPr>
      </w:pPr>
      <w:r>
        <w:rPr>
          <w:rFonts w:hint="eastAsia" w:cs="仿宋_GB2312"/>
          <w:b/>
          <w:bCs/>
          <w:sz w:val="24"/>
          <w:highlight w:val="none"/>
        </w:rPr>
        <w:t>5、详细评审</w:t>
      </w:r>
    </w:p>
    <w:p>
      <w:pPr>
        <w:adjustRightInd w:val="0"/>
        <w:snapToGrid w:val="0"/>
        <w:spacing w:line="360" w:lineRule="auto"/>
        <w:ind w:firstLine="482" w:firstLineChars="200"/>
        <w:rPr>
          <w:rFonts w:cs="仿宋_GB2312"/>
          <w:sz w:val="24"/>
          <w:highlight w:val="none"/>
        </w:rPr>
      </w:pPr>
      <w:r>
        <w:rPr>
          <w:rFonts w:hint="eastAsia" w:cs="仿宋_GB2312"/>
          <w:b/>
          <w:bCs/>
          <w:snapToGrid w:val="0"/>
          <w:sz w:val="24"/>
          <w:highlight w:val="none"/>
        </w:rPr>
        <w:t>5.1</w:t>
      </w:r>
      <w:r>
        <w:rPr>
          <w:rFonts w:hint="eastAsia" w:cs="仿宋_GB2312"/>
          <w:sz w:val="24"/>
          <w:highlight w:val="none"/>
        </w:rPr>
        <w:t>评标委员会对通过初步评审的有效标的投标文件按如下“评分细则”进行详细评审：</w:t>
      </w:r>
    </w:p>
    <w:tbl>
      <w:tblPr>
        <w:tblStyle w:val="25"/>
        <w:tblW w:w="96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108" w:type="dxa"/>
          <w:bottom w:w="57" w:type="dxa"/>
          <w:right w:w="108" w:type="dxa"/>
        </w:tblCellMar>
      </w:tblPr>
      <w:tblGrid>
        <w:gridCol w:w="1232"/>
        <w:gridCol w:w="1456"/>
        <w:gridCol w:w="739"/>
        <w:gridCol w:w="62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23" w:hRule="atLeast"/>
          <w:jc w:val="center"/>
        </w:trPr>
        <w:tc>
          <w:tcPr>
            <w:tcW w:w="1232"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分类</w:t>
            </w:r>
          </w:p>
        </w:tc>
        <w:tc>
          <w:tcPr>
            <w:tcW w:w="1456"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评审</w:t>
            </w:r>
          </w:p>
          <w:p>
            <w:pPr>
              <w:keepLines/>
              <w:widowControl/>
              <w:topLinePunct/>
              <w:adjustRightInd w:val="0"/>
              <w:snapToGrid w:val="0"/>
              <w:ind w:right="3"/>
              <w:jc w:val="center"/>
              <w:rPr>
                <w:rFonts w:cs="仿宋_GB2312"/>
                <w:sz w:val="24"/>
                <w:highlight w:val="none"/>
              </w:rPr>
            </w:pPr>
            <w:r>
              <w:rPr>
                <w:rFonts w:hint="eastAsia" w:cs="仿宋_GB2312"/>
                <w:sz w:val="24"/>
                <w:highlight w:val="none"/>
              </w:rPr>
              <w:t>因素</w:t>
            </w:r>
          </w:p>
        </w:tc>
        <w:tc>
          <w:tcPr>
            <w:tcW w:w="739"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分值</w:t>
            </w:r>
          </w:p>
        </w:tc>
        <w:tc>
          <w:tcPr>
            <w:tcW w:w="6259"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评分细则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23" w:hRule="atLeast"/>
          <w:jc w:val="center"/>
        </w:trPr>
        <w:tc>
          <w:tcPr>
            <w:tcW w:w="1232"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资信</w:t>
            </w:r>
          </w:p>
          <w:p>
            <w:pPr>
              <w:keepLines/>
              <w:widowControl/>
              <w:topLinePunct/>
              <w:adjustRightInd w:val="0"/>
              <w:snapToGrid w:val="0"/>
              <w:ind w:right="3"/>
              <w:jc w:val="center"/>
              <w:rPr>
                <w:rFonts w:cs="仿宋_GB2312"/>
                <w:sz w:val="24"/>
                <w:highlight w:val="none"/>
              </w:rPr>
            </w:pPr>
            <w:r>
              <w:rPr>
                <w:rFonts w:hint="eastAsia" w:cs="仿宋_GB2312"/>
                <w:sz w:val="24"/>
                <w:highlight w:val="none"/>
              </w:rPr>
              <w:t>评审</w:t>
            </w:r>
          </w:p>
          <w:p>
            <w:pPr>
              <w:pStyle w:val="2"/>
              <w:jc w:val="center"/>
              <w:rPr>
                <w:rFonts w:ascii="Times New Roman" w:hAnsi="Times New Roman" w:eastAsia="仿宋_GB2312" w:cs="仿宋_GB2312"/>
                <w:sz w:val="24"/>
                <w:highlight w:val="none"/>
              </w:rPr>
            </w:pPr>
            <w:r>
              <w:rPr>
                <w:rFonts w:hint="eastAsia" w:ascii="Times New Roman" w:hAnsi="Times New Roman" w:eastAsia="仿宋_GB2312" w:cs="仿宋_GB2312"/>
                <w:sz w:val="24"/>
                <w:highlight w:val="none"/>
              </w:rPr>
              <w:t>（</w:t>
            </w:r>
            <w:r>
              <w:rPr>
                <w:rFonts w:hint="eastAsia" w:ascii="Times New Roman" w:hAnsi="Times New Roman" w:eastAsia="仿宋_GB2312" w:cs="仿宋_GB2312"/>
                <w:sz w:val="24"/>
                <w:highlight w:val="none"/>
                <w:u w:val="single"/>
              </w:rPr>
              <w:t>10</w:t>
            </w:r>
            <w:r>
              <w:rPr>
                <w:rFonts w:hint="eastAsia" w:ascii="Times New Roman" w:hAnsi="Times New Roman" w:eastAsia="仿宋_GB2312" w:cs="仿宋_GB2312"/>
                <w:sz w:val="24"/>
                <w:highlight w:val="none"/>
              </w:rPr>
              <w:t>分）</w:t>
            </w:r>
          </w:p>
        </w:tc>
        <w:tc>
          <w:tcPr>
            <w:tcW w:w="1456"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业绩评价</w:t>
            </w:r>
          </w:p>
        </w:tc>
        <w:tc>
          <w:tcPr>
            <w:tcW w:w="739" w:type="dxa"/>
            <w:noWrap/>
            <w:vAlign w:val="center"/>
          </w:tcPr>
          <w:p>
            <w:pPr>
              <w:keepLines/>
              <w:widowControl/>
              <w:topLinePunct/>
              <w:adjustRightInd w:val="0"/>
              <w:snapToGrid w:val="0"/>
              <w:ind w:right="3"/>
              <w:jc w:val="center"/>
              <w:rPr>
                <w:rFonts w:cs="仿宋_GB2312"/>
                <w:sz w:val="24"/>
                <w:highlight w:val="none"/>
              </w:rPr>
            </w:pPr>
            <w:r>
              <w:rPr>
                <w:rFonts w:hint="eastAsia" w:cs="仿宋_GB2312"/>
                <w:sz w:val="24"/>
                <w:highlight w:val="none"/>
              </w:rPr>
              <w:t>10</w:t>
            </w:r>
          </w:p>
        </w:tc>
        <w:tc>
          <w:tcPr>
            <w:tcW w:w="6259" w:type="dxa"/>
            <w:noWrap/>
            <w:vAlign w:val="center"/>
          </w:tcPr>
          <w:p>
            <w:pPr>
              <w:rPr>
                <w:rFonts w:cs="仿宋_GB2312"/>
                <w:sz w:val="24"/>
                <w:highlight w:val="none"/>
              </w:rPr>
            </w:pPr>
            <w:r>
              <w:rPr>
                <w:rFonts w:hint="eastAsia" w:cs="仿宋_GB2312"/>
                <w:sz w:val="24"/>
                <w:highlight w:val="none"/>
              </w:rPr>
              <w:t>1、根据投标人自2019年1月1日（含）至投标文件递交截止之日，具有服务期限不小于1年的起重设备维保服务业绩个数进行横向对比打分，排名第一得</w:t>
            </w:r>
            <w:r>
              <w:rPr>
                <w:rFonts w:hint="eastAsia" w:cs="仿宋_GB2312"/>
                <w:sz w:val="24"/>
                <w:highlight w:val="none"/>
                <w:lang w:val="en-US" w:eastAsia="zh-CN"/>
              </w:rPr>
              <w:t>5</w:t>
            </w:r>
            <w:r>
              <w:rPr>
                <w:rFonts w:hint="eastAsia" w:cs="仿宋_GB2312"/>
                <w:sz w:val="24"/>
                <w:highlight w:val="none"/>
              </w:rPr>
              <w:t>分，排名第二得</w:t>
            </w:r>
            <w:r>
              <w:rPr>
                <w:rFonts w:hint="eastAsia" w:cs="仿宋_GB2312"/>
                <w:sz w:val="24"/>
                <w:highlight w:val="none"/>
                <w:lang w:val="en-US" w:eastAsia="zh-CN"/>
              </w:rPr>
              <w:t>3</w:t>
            </w:r>
            <w:r>
              <w:rPr>
                <w:rFonts w:hint="eastAsia" w:cs="仿宋_GB2312"/>
                <w:sz w:val="24"/>
                <w:highlight w:val="none"/>
              </w:rPr>
              <w:t>分，排名第三得</w:t>
            </w:r>
            <w:r>
              <w:rPr>
                <w:rFonts w:hint="eastAsia" w:cs="仿宋_GB2312"/>
                <w:sz w:val="24"/>
                <w:highlight w:val="none"/>
                <w:lang w:val="en-US" w:eastAsia="zh-CN"/>
              </w:rPr>
              <w:t>1</w:t>
            </w:r>
            <w:r>
              <w:rPr>
                <w:rFonts w:hint="eastAsia" w:cs="仿宋_GB2312"/>
                <w:sz w:val="24"/>
                <w:highlight w:val="none"/>
              </w:rPr>
              <w:t>分，排名第四至最后一名得</w:t>
            </w:r>
            <w:r>
              <w:rPr>
                <w:rFonts w:hint="eastAsia" w:cs="仿宋_GB2312"/>
                <w:sz w:val="24"/>
                <w:highlight w:val="none"/>
                <w:lang w:val="en-US" w:eastAsia="zh-CN"/>
              </w:rPr>
              <w:t>0</w:t>
            </w:r>
            <w:r>
              <w:rPr>
                <w:rFonts w:hint="eastAsia" w:cs="仿宋_GB2312"/>
                <w:sz w:val="24"/>
                <w:highlight w:val="none"/>
              </w:rPr>
              <w:t>分，不提供的不得分，业绩个数相同的为并列名次，不影响后续排位名次。</w:t>
            </w:r>
          </w:p>
          <w:p>
            <w:pPr>
              <w:rPr>
                <w:highlight w:val="none"/>
              </w:rPr>
            </w:pPr>
            <w:r>
              <w:rPr>
                <w:rFonts w:hint="eastAsia" w:cs="仿宋_GB2312"/>
                <w:sz w:val="24"/>
                <w:highlight w:val="none"/>
              </w:rPr>
              <w:t>2、</w:t>
            </w:r>
            <w:r>
              <w:rPr>
                <w:rFonts w:hint="eastAsia" w:cs="仿宋_GB2312"/>
                <w:sz w:val="24"/>
                <w:highlight w:val="none"/>
                <w:lang w:val="en-US" w:eastAsia="zh-CN"/>
              </w:rPr>
              <w:t>投标人在第1条提供的业绩中，属于</w:t>
            </w:r>
            <w:r>
              <w:rPr>
                <w:rFonts w:hint="eastAsia" w:cs="仿宋_GB2312"/>
                <w:sz w:val="24"/>
                <w:highlight w:val="none"/>
              </w:rPr>
              <w:t>服务期限不小于1年的垃圾焚烧发电项目</w:t>
            </w:r>
            <w:r>
              <w:rPr>
                <w:rFonts w:hint="eastAsia" w:cs="仿宋_GB2312"/>
                <w:sz w:val="24"/>
                <w:highlight w:val="none"/>
                <w:lang w:val="en-US" w:eastAsia="zh-CN"/>
              </w:rPr>
              <w:t>起重设备维保服务的业绩，</w:t>
            </w:r>
            <w:r>
              <w:rPr>
                <w:rFonts w:hint="eastAsia" w:cs="仿宋_GB2312"/>
                <w:sz w:val="24"/>
                <w:highlight w:val="none"/>
              </w:rPr>
              <w:t>每</w:t>
            </w:r>
            <w:r>
              <w:rPr>
                <w:rFonts w:hint="eastAsia" w:cs="仿宋_GB2312"/>
                <w:sz w:val="24"/>
                <w:highlight w:val="none"/>
                <w:lang w:val="en-US" w:eastAsia="zh-CN"/>
              </w:rPr>
              <w:t>个业绩另得</w:t>
            </w:r>
            <w:r>
              <w:rPr>
                <w:rFonts w:hint="eastAsia" w:cs="仿宋_GB2312"/>
                <w:sz w:val="24"/>
                <w:highlight w:val="none"/>
              </w:rPr>
              <w:t>1分，最多得</w:t>
            </w:r>
            <w:r>
              <w:rPr>
                <w:rFonts w:hint="eastAsia" w:cs="仿宋_GB2312"/>
                <w:sz w:val="24"/>
                <w:highlight w:val="none"/>
                <w:lang w:val="en-US" w:eastAsia="zh-CN"/>
              </w:rPr>
              <w:t>5</w:t>
            </w:r>
            <w:r>
              <w:rPr>
                <w:rFonts w:hint="eastAsia" w:cs="仿宋_GB2312"/>
                <w:sz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1692" w:hRule="atLeast"/>
          <w:jc w:val="center"/>
        </w:trPr>
        <w:tc>
          <w:tcPr>
            <w:tcW w:w="1232" w:type="dxa"/>
            <w:vMerge w:val="restart"/>
            <w:noWrap/>
            <w:vAlign w:val="center"/>
          </w:tcPr>
          <w:p>
            <w:pPr>
              <w:keepLines/>
              <w:widowControl/>
              <w:topLinePunct/>
              <w:adjustRightInd w:val="0"/>
              <w:snapToGrid w:val="0"/>
              <w:jc w:val="center"/>
              <w:rPr>
                <w:rFonts w:cs="仿宋_GB2312"/>
                <w:sz w:val="24"/>
                <w:highlight w:val="none"/>
              </w:rPr>
            </w:pPr>
            <w:r>
              <w:rPr>
                <w:rFonts w:hint="eastAsia" w:cs="仿宋_GB2312"/>
                <w:sz w:val="24"/>
                <w:highlight w:val="none"/>
              </w:rPr>
              <w:t>设备类技术方案</w:t>
            </w:r>
          </w:p>
          <w:p>
            <w:pPr>
              <w:pStyle w:val="2"/>
              <w:rPr>
                <w:rFonts w:ascii="Times New Roman" w:hAnsi="Times New Roman" w:eastAsia="仿宋_GB2312" w:cs="仿宋_GB2312"/>
                <w:sz w:val="24"/>
                <w:highlight w:val="none"/>
              </w:rPr>
            </w:pPr>
            <w:r>
              <w:rPr>
                <w:rFonts w:hint="eastAsia" w:ascii="Times New Roman" w:hAnsi="Times New Roman" w:eastAsia="仿宋_GB2312" w:cs="仿宋_GB2312"/>
                <w:sz w:val="24"/>
                <w:highlight w:val="none"/>
              </w:rPr>
              <w:t>（</w:t>
            </w:r>
            <w:r>
              <w:rPr>
                <w:rFonts w:hint="eastAsia" w:ascii="Times New Roman" w:hAnsi="Times New Roman" w:eastAsia="仿宋_GB2312" w:cs="仿宋_GB2312"/>
                <w:sz w:val="24"/>
                <w:highlight w:val="none"/>
                <w:u w:val="single"/>
              </w:rPr>
              <w:t>20</w:t>
            </w:r>
            <w:r>
              <w:rPr>
                <w:rFonts w:hint="eastAsia" w:ascii="Times New Roman" w:hAnsi="Times New Roman" w:eastAsia="仿宋_GB2312" w:cs="仿宋_GB2312"/>
                <w:sz w:val="24"/>
                <w:highlight w:val="none"/>
              </w:rPr>
              <w:t>分）</w:t>
            </w:r>
          </w:p>
        </w:tc>
        <w:tc>
          <w:tcPr>
            <w:tcW w:w="1456" w:type="dxa"/>
            <w:tcBorders>
              <w:top w:val="single" w:color="auto" w:sz="4" w:space="0"/>
            </w:tcBorders>
            <w:noWrap/>
            <w:vAlign w:val="center"/>
          </w:tcPr>
          <w:p>
            <w:pPr>
              <w:keepLines/>
              <w:widowControl/>
              <w:topLinePunct/>
              <w:adjustRightInd w:val="0"/>
              <w:snapToGrid w:val="0"/>
              <w:jc w:val="center"/>
              <w:rPr>
                <w:rFonts w:cs="仿宋_GB2312"/>
                <w:sz w:val="24"/>
                <w:highlight w:val="none"/>
              </w:rPr>
            </w:pPr>
            <w:r>
              <w:rPr>
                <w:rFonts w:hint="eastAsia" w:cs="仿宋_GB2312"/>
                <w:sz w:val="24"/>
                <w:highlight w:val="none"/>
              </w:rPr>
              <w:t>技术方案评价</w:t>
            </w:r>
          </w:p>
        </w:tc>
        <w:tc>
          <w:tcPr>
            <w:tcW w:w="739" w:type="dxa"/>
            <w:tcBorders>
              <w:top w:val="single" w:color="auto" w:sz="4" w:space="0"/>
            </w:tcBorders>
            <w:noWrap/>
            <w:vAlign w:val="center"/>
          </w:tcPr>
          <w:p>
            <w:pPr>
              <w:keepLines/>
              <w:widowControl/>
              <w:topLinePunct/>
              <w:adjustRightInd w:val="0"/>
              <w:snapToGrid w:val="0"/>
              <w:jc w:val="center"/>
              <w:rPr>
                <w:rFonts w:hint="eastAsia" w:eastAsia="仿宋_GB2312" w:cs="仿宋_GB2312"/>
                <w:sz w:val="24"/>
                <w:highlight w:val="none"/>
                <w:lang w:eastAsia="zh-CN"/>
              </w:rPr>
            </w:pPr>
            <w:r>
              <w:rPr>
                <w:rFonts w:hint="eastAsia" w:cs="仿宋_GB2312"/>
                <w:sz w:val="24"/>
                <w:highlight w:val="none"/>
                <w:lang w:val="en-US" w:eastAsia="zh-CN"/>
              </w:rPr>
              <w:t>5</w:t>
            </w:r>
          </w:p>
        </w:tc>
        <w:tc>
          <w:tcPr>
            <w:tcW w:w="6259" w:type="dxa"/>
            <w:tcBorders>
              <w:top w:val="single" w:color="auto" w:sz="4" w:space="0"/>
              <w:bottom w:val="single" w:color="auto" w:sz="4" w:space="0"/>
            </w:tcBorders>
            <w:noWrap/>
            <w:vAlign w:val="center"/>
          </w:tcPr>
          <w:p>
            <w:pPr>
              <w:rPr>
                <w:rFonts w:hint="eastAsia" w:cs="仿宋_GB2312"/>
                <w:sz w:val="24"/>
                <w:highlight w:val="none"/>
                <w:lang w:val="en-US" w:eastAsia="zh-CN"/>
              </w:rPr>
            </w:pPr>
            <w:r>
              <w:rPr>
                <w:rFonts w:hint="eastAsia" w:cs="仿宋_GB2312"/>
                <w:sz w:val="24"/>
                <w:highlight w:val="none"/>
                <w:lang w:val="en-US" w:eastAsia="zh-CN"/>
              </w:rPr>
              <w:t>对本项目维保服务方案可行性、检修技术先进性、方法合理性，是否有切实可行的技术方案等方面综合评分。应包含针对科尼行车的特性及工作环境、故障原因分析及应对措施。</w:t>
            </w:r>
          </w:p>
          <w:p>
            <w:pPr>
              <w:rPr>
                <w:rFonts w:ascii="仿宋" w:hAnsi="仿宋" w:eastAsia="仿宋" w:cs="仿宋_GB2312"/>
                <w:sz w:val="24"/>
                <w:highlight w:val="none"/>
              </w:rPr>
            </w:pPr>
            <w:r>
              <w:rPr>
                <w:rFonts w:hint="eastAsia" w:cs="仿宋_GB2312"/>
                <w:sz w:val="24"/>
                <w:highlight w:val="none"/>
                <w:lang w:val="en-US" w:eastAsia="zh-CN"/>
              </w:rPr>
              <w:t>根据方案优劣程度打分，“优”得4—5分，“良”得3-4（不含）分，“差”得0-3（不含）分，无相关内容不得分。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23" w:hRule="atLeast"/>
          <w:jc w:val="center"/>
        </w:trPr>
        <w:tc>
          <w:tcPr>
            <w:tcW w:w="1232" w:type="dxa"/>
            <w:vMerge w:val="continue"/>
            <w:noWrap/>
            <w:vAlign w:val="center"/>
          </w:tcPr>
          <w:p>
            <w:pPr>
              <w:keepLines/>
              <w:widowControl/>
              <w:topLinePunct/>
              <w:adjustRightInd w:val="0"/>
              <w:snapToGrid w:val="0"/>
              <w:jc w:val="center"/>
              <w:rPr>
                <w:rFonts w:cs="仿宋_GB2312"/>
                <w:sz w:val="24"/>
                <w:highlight w:val="none"/>
              </w:rPr>
            </w:pPr>
          </w:p>
        </w:tc>
        <w:tc>
          <w:tcPr>
            <w:tcW w:w="1456" w:type="dxa"/>
            <w:tcBorders>
              <w:top w:val="single" w:color="auto" w:sz="4" w:space="0"/>
              <w:bottom w:val="single" w:color="auto" w:sz="4" w:space="0"/>
            </w:tcBorders>
            <w:noWrap/>
            <w:vAlign w:val="center"/>
          </w:tcPr>
          <w:p>
            <w:pPr>
              <w:keepLines/>
              <w:widowControl/>
              <w:topLinePunct/>
              <w:adjustRightInd w:val="0"/>
              <w:snapToGrid w:val="0"/>
              <w:jc w:val="center"/>
              <w:rPr>
                <w:rFonts w:cs="仿宋_GB2312"/>
                <w:sz w:val="24"/>
                <w:highlight w:val="none"/>
              </w:rPr>
            </w:pPr>
            <w:r>
              <w:rPr>
                <w:rFonts w:hint="eastAsia" w:cs="仿宋_GB2312"/>
                <w:sz w:val="24"/>
                <w:highlight w:val="none"/>
              </w:rPr>
              <w:t>应急保障能力评价</w:t>
            </w:r>
          </w:p>
        </w:tc>
        <w:tc>
          <w:tcPr>
            <w:tcW w:w="739" w:type="dxa"/>
            <w:tcBorders>
              <w:top w:val="single" w:color="auto" w:sz="4" w:space="0"/>
              <w:bottom w:val="single" w:color="auto" w:sz="4" w:space="0"/>
            </w:tcBorders>
            <w:noWrap/>
            <w:vAlign w:val="center"/>
          </w:tcPr>
          <w:p>
            <w:pPr>
              <w:keepLines/>
              <w:widowControl/>
              <w:topLinePunct/>
              <w:adjustRightInd w:val="0"/>
              <w:snapToGrid w:val="0"/>
              <w:jc w:val="center"/>
              <w:rPr>
                <w:rFonts w:hint="eastAsia" w:eastAsia="仿宋_GB2312" w:cs="仿宋_GB2312"/>
                <w:sz w:val="24"/>
                <w:highlight w:val="none"/>
                <w:lang w:eastAsia="zh-CN"/>
              </w:rPr>
            </w:pPr>
            <w:r>
              <w:rPr>
                <w:rFonts w:hint="eastAsia" w:cs="仿宋_GB2312"/>
                <w:sz w:val="24"/>
                <w:highlight w:val="none"/>
                <w:lang w:val="en-US" w:eastAsia="zh-CN"/>
              </w:rPr>
              <w:t>8</w:t>
            </w:r>
          </w:p>
        </w:tc>
        <w:tc>
          <w:tcPr>
            <w:tcW w:w="6259" w:type="dxa"/>
            <w:tcBorders>
              <w:top w:val="single" w:color="auto" w:sz="4" w:space="0"/>
              <w:bottom w:val="single" w:color="auto" w:sz="4" w:space="0"/>
            </w:tcBorders>
            <w:noWrap/>
            <w:vAlign w:val="center"/>
          </w:tcPr>
          <w:p>
            <w:pPr>
              <w:rPr>
                <w:rFonts w:hint="eastAsia" w:cs="仿宋_GB2312"/>
                <w:sz w:val="24"/>
                <w:highlight w:val="none"/>
                <w:lang w:val="en-US" w:eastAsia="zh-CN"/>
              </w:rPr>
            </w:pPr>
            <w:r>
              <w:rPr>
                <w:rFonts w:hint="eastAsia" w:cs="仿宋_GB2312"/>
                <w:sz w:val="24"/>
                <w:highlight w:val="none"/>
                <w:lang w:val="en-US" w:eastAsia="zh-CN"/>
              </w:rPr>
              <w:t>制定防汛抗台、火灾、人身伤害等应急处置方案，要求符合现场实际、可操作性强。根据方案优劣程度打分，“优”得1.5—3分，“良”得1-1.5（不含）分，“差”得0-1（不含）分，无相关内容不得分。</w:t>
            </w:r>
            <w:bookmarkStart w:id="235" w:name="_GoBack"/>
            <w:bookmarkEnd w:id="235"/>
          </w:p>
          <w:p>
            <w:pPr>
              <w:rPr>
                <w:rFonts w:hint="default" w:eastAsia="仿宋"/>
                <w:highlight w:val="none"/>
                <w:lang w:val="en-US" w:eastAsia="zh-CN"/>
              </w:rPr>
            </w:pPr>
            <w:r>
              <w:rPr>
                <w:rFonts w:hint="eastAsia" w:cs="仿宋_GB2312"/>
                <w:sz w:val="24"/>
                <w:highlight w:val="none"/>
                <w:lang w:val="en-US" w:eastAsia="zh-CN"/>
              </w:rPr>
              <w:t>根据本项目特点，制定应急抢修预案，重点突出在现场起重设备出现紧急情况下的抢修恢复能力，包括人员组织、工器具准备、工期安排等内容。根据方案优劣程度打分，“优”得4—5分，“良”得3-4（不含）分，“差”得0-3（不含）分，无相关内容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23" w:hRule="atLeast"/>
          <w:jc w:val="center"/>
        </w:trPr>
        <w:tc>
          <w:tcPr>
            <w:tcW w:w="1232" w:type="dxa"/>
            <w:vMerge w:val="continue"/>
            <w:noWrap/>
            <w:vAlign w:val="center"/>
          </w:tcPr>
          <w:p>
            <w:pPr>
              <w:keepLines/>
              <w:widowControl/>
              <w:topLinePunct/>
              <w:adjustRightInd w:val="0"/>
              <w:snapToGrid w:val="0"/>
              <w:jc w:val="center"/>
              <w:rPr>
                <w:rFonts w:cs="仿宋_GB2312"/>
                <w:sz w:val="24"/>
                <w:highlight w:val="none"/>
              </w:rPr>
            </w:pPr>
          </w:p>
        </w:tc>
        <w:tc>
          <w:tcPr>
            <w:tcW w:w="1456" w:type="dxa"/>
            <w:tcBorders>
              <w:top w:val="single" w:color="auto" w:sz="4" w:space="0"/>
              <w:bottom w:val="single" w:color="auto" w:sz="4" w:space="0"/>
            </w:tcBorders>
            <w:noWrap/>
            <w:vAlign w:val="center"/>
          </w:tcPr>
          <w:p>
            <w:pPr>
              <w:keepLines/>
              <w:widowControl/>
              <w:topLinePunct/>
              <w:adjustRightInd w:val="0"/>
              <w:snapToGrid w:val="0"/>
              <w:jc w:val="center"/>
              <w:rPr>
                <w:rFonts w:cs="仿宋_GB2312"/>
                <w:sz w:val="24"/>
                <w:highlight w:val="none"/>
              </w:rPr>
            </w:pPr>
            <w:r>
              <w:rPr>
                <w:rFonts w:hint="eastAsia" w:cs="仿宋_GB2312"/>
                <w:sz w:val="24"/>
                <w:highlight w:val="none"/>
              </w:rPr>
              <w:t>质量保证评价</w:t>
            </w:r>
          </w:p>
        </w:tc>
        <w:tc>
          <w:tcPr>
            <w:tcW w:w="739" w:type="dxa"/>
            <w:tcBorders>
              <w:top w:val="single" w:color="auto" w:sz="4" w:space="0"/>
              <w:bottom w:val="single" w:color="auto" w:sz="4" w:space="0"/>
            </w:tcBorders>
            <w:noWrap/>
            <w:vAlign w:val="center"/>
          </w:tcPr>
          <w:p>
            <w:pPr>
              <w:keepLines/>
              <w:widowControl/>
              <w:topLinePunct/>
              <w:adjustRightInd w:val="0"/>
              <w:snapToGrid w:val="0"/>
              <w:jc w:val="center"/>
              <w:rPr>
                <w:rFonts w:hint="eastAsia" w:eastAsia="仿宋_GB2312" w:cs="仿宋_GB2312"/>
                <w:sz w:val="24"/>
                <w:highlight w:val="none"/>
                <w:lang w:eastAsia="zh-CN"/>
              </w:rPr>
            </w:pPr>
            <w:r>
              <w:rPr>
                <w:rFonts w:hint="eastAsia" w:cs="仿宋_GB2312"/>
                <w:sz w:val="24"/>
                <w:highlight w:val="none"/>
                <w:lang w:val="en-US" w:eastAsia="zh-CN"/>
              </w:rPr>
              <w:t>5</w:t>
            </w:r>
          </w:p>
        </w:tc>
        <w:tc>
          <w:tcPr>
            <w:tcW w:w="6259" w:type="dxa"/>
            <w:tcBorders>
              <w:top w:val="single" w:color="auto" w:sz="4" w:space="0"/>
              <w:bottom w:val="single" w:color="auto" w:sz="4" w:space="0"/>
            </w:tcBorders>
            <w:noWrap/>
            <w:vAlign w:val="center"/>
          </w:tcPr>
          <w:p>
            <w:pPr>
              <w:keepLines/>
              <w:widowControl/>
              <w:topLinePunct/>
              <w:adjustRightInd w:val="0"/>
              <w:snapToGrid w:val="0"/>
              <w:ind w:right="3"/>
              <w:jc w:val="left"/>
              <w:rPr>
                <w:rFonts w:hint="eastAsia" w:cs="仿宋_GB2312"/>
                <w:sz w:val="24"/>
                <w:highlight w:val="none"/>
              </w:rPr>
            </w:pPr>
            <w:r>
              <w:rPr>
                <w:rFonts w:hint="eastAsia" w:cs="仿宋_GB2312"/>
                <w:sz w:val="24"/>
                <w:highlight w:val="none"/>
              </w:rPr>
              <w:t>质量管理措施合理，针对性强，满足检修服务的质量管理要求。</w:t>
            </w:r>
            <w:r>
              <w:rPr>
                <w:rFonts w:hint="eastAsia" w:cs="仿宋_GB2312"/>
                <w:sz w:val="24"/>
                <w:highlight w:val="none"/>
                <w:lang w:val="en-US" w:eastAsia="zh-CN"/>
              </w:rPr>
              <w:t>根据方案优劣程度打分，“优”得4—5分，“良”得3-4（不含）分，“差”得0-3（不含）分，无相关内容不得分。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23" w:hRule="atLeast"/>
          <w:jc w:val="center"/>
        </w:trPr>
        <w:tc>
          <w:tcPr>
            <w:tcW w:w="1232" w:type="dxa"/>
            <w:vMerge w:val="continue"/>
            <w:noWrap/>
            <w:vAlign w:val="center"/>
          </w:tcPr>
          <w:p>
            <w:pPr>
              <w:keepLines/>
              <w:widowControl/>
              <w:topLinePunct/>
              <w:adjustRightInd w:val="0"/>
              <w:snapToGrid w:val="0"/>
              <w:jc w:val="center"/>
              <w:rPr>
                <w:rFonts w:cs="仿宋_GB2312"/>
                <w:sz w:val="24"/>
                <w:highlight w:val="none"/>
              </w:rPr>
            </w:pPr>
          </w:p>
        </w:tc>
        <w:tc>
          <w:tcPr>
            <w:tcW w:w="1456" w:type="dxa"/>
            <w:tcBorders>
              <w:top w:val="single" w:color="auto" w:sz="4" w:space="0"/>
              <w:bottom w:val="single" w:color="auto" w:sz="4" w:space="0"/>
            </w:tcBorders>
            <w:noWrap/>
            <w:vAlign w:val="center"/>
          </w:tcPr>
          <w:p>
            <w:pPr>
              <w:keepLines/>
              <w:widowControl/>
              <w:topLinePunct/>
              <w:adjustRightInd w:val="0"/>
              <w:snapToGrid w:val="0"/>
              <w:jc w:val="center"/>
              <w:rPr>
                <w:rFonts w:cs="仿宋_GB2312"/>
                <w:sz w:val="24"/>
                <w:highlight w:val="none"/>
              </w:rPr>
            </w:pPr>
            <w:r>
              <w:rPr>
                <w:rFonts w:hint="eastAsia" w:cs="仿宋_GB2312"/>
                <w:sz w:val="24"/>
                <w:highlight w:val="none"/>
              </w:rPr>
              <w:t>增值服务评价</w:t>
            </w:r>
          </w:p>
        </w:tc>
        <w:tc>
          <w:tcPr>
            <w:tcW w:w="739" w:type="dxa"/>
            <w:tcBorders>
              <w:top w:val="single" w:color="auto" w:sz="4" w:space="0"/>
              <w:bottom w:val="single" w:color="auto" w:sz="4" w:space="0"/>
            </w:tcBorders>
            <w:noWrap/>
            <w:vAlign w:val="center"/>
          </w:tcPr>
          <w:p>
            <w:pPr>
              <w:keepLines/>
              <w:widowControl/>
              <w:topLinePunct/>
              <w:adjustRightInd w:val="0"/>
              <w:snapToGrid w:val="0"/>
              <w:jc w:val="center"/>
              <w:rPr>
                <w:rFonts w:hint="eastAsia" w:eastAsia="仿宋_GB2312" w:cs="仿宋_GB2312"/>
                <w:sz w:val="24"/>
                <w:highlight w:val="none"/>
                <w:lang w:eastAsia="zh-CN"/>
              </w:rPr>
            </w:pPr>
            <w:r>
              <w:rPr>
                <w:rFonts w:hint="eastAsia" w:cs="仿宋_GB2312"/>
                <w:sz w:val="24"/>
                <w:highlight w:val="none"/>
                <w:lang w:val="en-US" w:eastAsia="zh-CN"/>
              </w:rPr>
              <w:t>2</w:t>
            </w:r>
          </w:p>
        </w:tc>
        <w:tc>
          <w:tcPr>
            <w:tcW w:w="6259" w:type="dxa"/>
            <w:tcBorders>
              <w:top w:val="single" w:color="auto" w:sz="4" w:space="0"/>
              <w:bottom w:val="single" w:color="auto" w:sz="4" w:space="0"/>
            </w:tcBorders>
            <w:noWrap/>
            <w:vAlign w:val="center"/>
          </w:tcPr>
          <w:p>
            <w:pPr>
              <w:keepLines/>
              <w:widowControl/>
              <w:topLinePunct/>
              <w:adjustRightInd w:val="0"/>
              <w:snapToGrid w:val="0"/>
              <w:ind w:right="3"/>
              <w:jc w:val="left"/>
              <w:rPr>
                <w:rFonts w:cs="仿宋_GB2312"/>
                <w:sz w:val="24"/>
                <w:highlight w:val="none"/>
              </w:rPr>
            </w:pPr>
            <w:r>
              <w:rPr>
                <w:rFonts w:hint="eastAsia" w:cs="仿宋_GB2312"/>
                <w:sz w:val="24"/>
                <w:highlight w:val="none"/>
              </w:rPr>
              <w:t>投标人对于本项目实施过程中商务优惠条件及特殊承诺，由评委根据投标文件的相应内容，对各投标文件综合评比。根据方案优劣程度打分，“优”得</w:t>
            </w:r>
            <w:r>
              <w:rPr>
                <w:rFonts w:hint="eastAsia" w:cs="仿宋_GB2312"/>
                <w:sz w:val="24"/>
                <w:highlight w:val="none"/>
                <w:lang w:val="en-US" w:eastAsia="zh-CN"/>
              </w:rPr>
              <w:t>1.5</w:t>
            </w:r>
            <w:r>
              <w:rPr>
                <w:rFonts w:hint="eastAsia" w:cs="仿宋_GB2312"/>
                <w:sz w:val="24"/>
                <w:highlight w:val="none"/>
              </w:rPr>
              <w:t>—</w:t>
            </w:r>
            <w:r>
              <w:rPr>
                <w:rFonts w:hint="eastAsia" w:cs="仿宋_GB2312"/>
                <w:sz w:val="24"/>
                <w:highlight w:val="none"/>
                <w:lang w:val="en-US" w:eastAsia="zh-CN"/>
              </w:rPr>
              <w:t>2</w:t>
            </w:r>
            <w:r>
              <w:rPr>
                <w:rFonts w:hint="eastAsia" w:cs="仿宋_GB2312"/>
                <w:sz w:val="24"/>
                <w:highlight w:val="none"/>
              </w:rPr>
              <w:t>分，“良”得1-</w:t>
            </w:r>
            <w:r>
              <w:rPr>
                <w:rFonts w:hint="eastAsia" w:cs="仿宋_GB2312"/>
                <w:sz w:val="24"/>
                <w:highlight w:val="none"/>
                <w:lang w:val="en-US" w:eastAsia="zh-CN"/>
              </w:rPr>
              <w:t>1.5</w:t>
            </w:r>
            <w:r>
              <w:rPr>
                <w:rFonts w:hint="eastAsia" w:cs="仿宋_GB2312"/>
                <w:sz w:val="24"/>
                <w:highlight w:val="none"/>
              </w:rPr>
              <w:t>（不含）分，“差”得0-1（不含）分，无相关内容不得分。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23" w:hRule="atLeast"/>
          <w:jc w:val="center"/>
        </w:trPr>
        <w:tc>
          <w:tcPr>
            <w:tcW w:w="1232" w:type="dxa"/>
            <w:tcBorders>
              <w:right w:val="single" w:color="auto" w:sz="4" w:space="0"/>
            </w:tcBorders>
            <w:noWrap/>
            <w:vAlign w:val="center"/>
          </w:tcPr>
          <w:p>
            <w:pPr>
              <w:keepLines/>
              <w:widowControl/>
              <w:topLinePunct/>
              <w:adjustRightInd w:val="0"/>
              <w:snapToGrid w:val="0"/>
              <w:jc w:val="center"/>
              <w:rPr>
                <w:rFonts w:cs="仿宋_GB2312"/>
                <w:sz w:val="24"/>
                <w:highlight w:val="none"/>
              </w:rPr>
            </w:pPr>
            <w:r>
              <w:rPr>
                <w:rFonts w:hint="eastAsia" w:cs="仿宋_GB2312"/>
                <w:sz w:val="24"/>
                <w:highlight w:val="none"/>
              </w:rPr>
              <w:t>商</w:t>
            </w:r>
          </w:p>
          <w:p>
            <w:pPr>
              <w:keepLines/>
              <w:widowControl/>
              <w:topLinePunct/>
              <w:adjustRightInd w:val="0"/>
              <w:snapToGrid w:val="0"/>
              <w:jc w:val="center"/>
              <w:rPr>
                <w:rFonts w:cs="仿宋_GB2312"/>
                <w:sz w:val="24"/>
                <w:highlight w:val="none"/>
              </w:rPr>
            </w:pPr>
            <w:r>
              <w:rPr>
                <w:rFonts w:hint="eastAsia" w:cs="仿宋_GB2312"/>
                <w:sz w:val="24"/>
                <w:highlight w:val="none"/>
              </w:rPr>
              <w:t>务</w:t>
            </w:r>
          </w:p>
          <w:p>
            <w:pPr>
              <w:keepLines/>
              <w:widowControl/>
              <w:topLinePunct/>
              <w:adjustRightInd w:val="0"/>
              <w:snapToGrid w:val="0"/>
              <w:jc w:val="center"/>
              <w:rPr>
                <w:rFonts w:cs="仿宋_GB2312"/>
                <w:sz w:val="24"/>
                <w:highlight w:val="none"/>
              </w:rPr>
            </w:pPr>
            <w:r>
              <w:rPr>
                <w:rFonts w:hint="eastAsia" w:cs="仿宋_GB2312"/>
                <w:sz w:val="24"/>
                <w:highlight w:val="none"/>
              </w:rPr>
              <w:t>标</w:t>
            </w:r>
          </w:p>
          <w:p>
            <w:pPr>
              <w:keepLines/>
              <w:widowControl/>
              <w:topLinePunct/>
              <w:adjustRightInd w:val="0"/>
              <w:snapToGrid w:val="0"/>
              <w:jc w:val="center"/>
              <w:rPr>
                <w:rFonts w:cs="仿宋_GB2312"/>
                <w:sz w:val="24"/>
                <w:highlight w:val="none"/>
              </w:rPr>
            </w:pPr>
            <w:r>
              <w:rPr>
                <w:rFonts w:hint="eastAsia" w:cs="仿宋_GB2312"/>
                <w:sz w:val="24"/>
                <w:highlight w:val="none"/>
              </w:rPr>
              <w:t>（</w:t>
            </w:r>
            <w:r>
              <w:rPr>
                <w:rFonts w:hint="eastAsia" w:cs="仿宋_GB2312"/>
                <w:sz w:val="24"/>
                <w:highlight w:val="none"/>
                <w:u w:val="single"/>
              </w:rPr>
              <w:t>70</w:t>
            </w:r>
            <w:r>
              <w:rPr>
                <w:rFonts w:hint="eastAsia" w:cs="仿宋_GB2312"/>
                <w:sz w:val="24"/>
                <w:highlight w:val="none"/>
              </w:rPr>
              <w:t>分）</w:t>
            </w:r>
          </w:p>
        </w:tc>
        <w:tc>
          <w:tcPr>
            <w:tcW w:w="8454" w:type="dxa"/>
            <w:gridSpan w:val="3"/>
            <w:tcBorders>
              <w:left w:val="single" w:color="auto" w:sz="4" w:space="0"/>
            </w:tcBorders>
            <w:noWrap/>
            <w:vAlign w:val="center"/>
          </w:tcPr>
          <w:p>
            <w:pPr>
              <w:tabs>
                <w:tab w:val="center" w:pos="4144"/>
              </w:tabs>
              <w:adjustRightInd w:val="0"/>
              <w:snapToGrid w:val="0"/>
              <w:spacing w:line="360" w:lineRule="auto"/>
              <w:ind w:firstLine="480" w:firstLineChars="200"/>
              <w:rPr>
                <w:rFonts w:cs="仿宋_GB2312"/>
                <w:sz w:val="24"/>
                <w:highlight w:val="none"/>
              </w:rPr>
            </w:pPr>
            <w:r>
              <w:rPr>
                <w:rFonts w:hint="eastAsia" w:cs="仿宋_GB2312"/>
                <w:sz w:val="24"/>
                <w:highlight w:val="none"/>
              </w:rPr>
              <w:t>1、有效投标报价（A）的确定：通过初步评审、详细评审的投标报价即为有效投标报价（A）。</w:t>
            </w:r>
          </w:p>
          <w:p>
            <w:pPr>
              <w:tabs>
                <w:tab w:val="center" w:pos="4144"/>
              </w:tabs>
              <w:adjustRightInd w:val="0"/>
              <w:snapToGrid w:val="0"/>
              <w:spacing w:line="360" w:lineRule="auto"/>
              <w:ind w:firstLine="480" w:firstLineChars="200"/>
              <w:rPr>
                <w:rFonts w:cs="仿宋_GB2312"/>
                <w:sz w:val="24"/>
                <w:highlight w:val="none"/>
              </w:rPr>
            </w:pPr>
            <w:r>
              <w:rPr>
                <w:rFonts w:hint="eastAsia" w:cs="仿宋_GB2312"/>
                <w:sz w:val="24"/>
                <w:highlight w:val="none"/>
              </w:rPr>
              <w:t>2、评标基准价（B）的确定：</w:t>
            </w:r>
          </w:p>
          <w:p>
            <w:pPr>
              <w:snapToGrid w:val="0"/>
              <w:spacing w:line="360" w:lineRule="auto"/>
              <w:ind w:firstLine="480" w:firstLineChars="200"/>
              <w:jc w:val="left"/>
              <w:rPr>
                <w:rFonts w:cs="仿宋_GB2312"/>
                <w:sz w:val="24"/>
                <w:highlight w:val="none"/>
              </w:rPr>
            </w:pPr>
            <w:r>
              <w:rPr>
                <w:rFonts w:hint="eastAsia" w:cs="仿宋_GB2312"/>
                <w:sz w:val="24"/>
                <w:highlight w:val="none"/>
              </w:rPr>
              <w:t>最低报价为基准价：所有有效评标报价的最低评标价为基准价（B）。</w:t>
            </w:r>
          </w:p>
          <w:p>
            <w:pPr>
              <w:tabs>
                <w:tab w:val="center" w:pos="4144"/>
              </w:tabs>
              <w:adjustRightInd w:val="0"/>
              <w:snapToGrid w:val="0"/>
              <w:spacing w:line="360" w:lineRule="auto"/>
              <w:ind w:firstLine="480" w:firstLineChars="200"/>
              <w:rPr>
                <w:rFonts w:cs="仿宋_GB2312"/>
                <w:sz w:val="24"/>
                <w:highlight w:val="none"/>
              </w:rPr>
            </w:pPr>
            <w:r>
              <w:rPr>
                <w:rFonts w:hint="eastAsia" w:cs="仿宋_GB2312"/>
                <w:sz w:val="24"/>
                <w:highlight w:val="none"/>
              </w:rPr>
              <w:t>3、各投标人的商务得分（K）的确定：各投标人的有效投标报价（A）与评标基准价（B）相比较，相同者为满分</w:t>
            </w:r>
            <w:r>
              <w:rPr>
                <w:rFonts w:hint="eastAsia" w:cs="仿宋_GB2312"/>
                <w:sz w:val="24"/>
                <w:highlight w:val="none"/>
                <w:u w:val="single"/>
              </w:rPr>
              <w:t>70</w:t>
            </w:r>
            <w:r>
              <w:rPr>
                <w:rFonts w:hint="eastAsia" w:cs="仿宋_GB2312"/>
                <w:sz w:val="24"/>
                <w:highlight w:val="none"/>
              </w:rPr>
              <w:t>分，公式如下：</w:t>
            </w:r>
          </w:p>
          <w:p>
            <w:pPr>
              <w:tabs>
                <w:tab w:val="center" w:pos="4144"/>
              </w:tabs>
              <w:adjustRightInd w:val="0"/>
              <w:snapToGrid w:val="0"/>
              <w:spacing w:line="360" w:lineRule="auto"/>
              <w:ind w:firstLine="480" w:firstLineChars="200"/>
              <w:rPr>
                <w:rFonts w:cs="仿宋_GB2312"/>
                <w:sz w:val="24"/>
                <w:highlight w:val="none"/>
              </w:rPr>
            </w:pPr>
            <w:r>
              <w:rPr>
                <w:rFonts w:hint="eastAsia" w:cs="仿宋_GB2312"/>
                <w:sz w:val="24"/>
                <w:highlight w:val="none"/>
              </w:rPr>
              <w:t>投标价得分(K)=70.00×评标基准价（B）/有效投标价(A)</w:t>
            </w:r>
          </w:p>
          <w:p>
            <w:pPr>
              <w:tabs>
                <w:tab w:val="center" w:pos="4144"/>
              </w:tabs>
              <w:adjustRightInd w:val="0"/>
              <w:snapToGrid w:val="0"/>
              <w:spacing w:line="360" w:lineRule="auto"/>
              <w:ind w:firstLine="480" w:firstLineChars="200"/>
              <w:rPr>
                <w:rFonts w:cs="仿宋_GB2312"/>
                <w:sz w:val="24"/>
                <w:highlight w:val="none"/>
              </w:rPr>
            </w:pPr>
            <w:r>
              <w:rPr>
                <w:rFonts w:hint="eastAsia" w:cs="仿宋_GB2312"/>
                <w:sz w:val="24"/>
                <w:highlight w:val="none"/>
              </w:rPr>
              <w:t>注：以上报价得分不足一个百分点时，使用直线插入法计算，保留小数2位。</w:t>
            </w:r>
          </w:p>
          <w:p>
            <w:pPr>
              <w:tabs>
                <w:tab w:val="center" w:pos="4144"/>
              </w:tabs>
              <w:adjustRightInd w:val="0"/>
              <w:snapToGrid w:val="0"/>
              <w:spacing w:line="360" w:lineRule="auto"/>
              <w:ind w:firstLine="480" w:firstLineChars="200"/>
              <w:rPr>
                <w:rFonts w:cs="仿宋_GB2312"/>
                <w:sz w:val="24"/>
                <w:highlight w:val="none"/>
              </w:rPr>
            </w:pPr>
            <w:r>
              <w:rPr>
                <w:rFonts w:hint="eastAsia" w:cs="仿宋_GB2312"/>
                <w:sz w:val="24"/>
                <w:highlight w:val="none"/>
              </w:rPr>
              <w:t>4、各投标人的综合得分确定后，按得分高低进行排序。</w:t>
            </w:r>
          </w:p>
        </w:tc>
      </w:tr>
    </w:tbl>
    <w:p>
      <w:pPr>
        <w:rPr>
          <w:rFonts w:cs="仿宋_GB2312"/>
          <w:sz w:val="24"/>
          <w:highlight w:val="none"/>
        </w:rPr>
      </w:pPr>
    </w:p>
    <w:p>
      <w:pPr>
        <w:wordWrap w:val="0"/>
        <w:adjustRightInd w:val="0"/>
        <w:spacing w:line="360" w:lineRule="auto"/>
        <w:ind w:firstLine="480" w:firstLineChars="200"/>
        <w:rPr>
          <w:rFonts w:cs="仿宋_GB2312"/>
          <w:sz w:val="24"/>
          <w:highlight w:val="none"/>
        </w:rPr>
      </w:pPr>
      <w:r>
        <w:rPr>
          <w:rFonts w:hint="eastAsia" w:cs="仿宋_GB2312"/>
          <w:sz w:val="24"/>
          <w:highlight w:val="none"/>
        </w:rPr>
        <w:t>注：（1）上述提供的证明材料应复印件加盖公章，原件随身携带备查，评标委员会确需查询原件而未能提供原件的不得分；中标候选人公示期间，招标人有权核查原件或要求进一步提供证明材料，被查实弄虚作假，取消中标资格并没收投标保证金。</w:t>
      </w:r>
    </w:p>
    <w:p>
      <w:pPr>
        <w:adjustRightInd w:val="0"/>
        <w:snapToGrid w:val="0"/>
        <w:spacing w:line="360" w:lineRule="auto"/>
        <w:ind w:firstLine="480" w:firstLineChars="200"/>
        <w:rPr>
          <w:rFonts w:cs="仿宋_GB2312"/>
          <w:sz w:val="24"/>
          <w:highlight w:val="none"/>
        </w:rPr>
      </w:pPr>
      <w:r>
        <w:rPr>
          <w:rFonts w:hint="eastAsia" w:cs="仿宋_GB2312"/>
          <w:sz w:val="24"/>
          <w:highlight w:val="none"/>
        </w:rPr>
        <w:t>（2）技术标评分由评标成员每人一份评分表，在分值范围内各自独立打分并签名。投标人技术得分为评标委员会各成员的有效评分的算术平均值（小数点保留两位，第三位四舍五入）；</w:t>
      </w:r>
    </w:p>
    <w:p>
      <w:pPr>
        <w:adjustRightInd w:val="0"/>
        <w:spacing w:line="360" w:lineRule="auto"/>
        <w:ind w:firstLine="480" w:firstLineChars="200"/>
        <w:rPr>
          <w:rFonts w:cs="仿宋_GB2312"/>
          <w:sz w:val="24"/>
          <w:highlight w:val="none"/>
        </w:rPr>
      </w:pPr>
      <w:r>
        <w:rPr>
          <w:rFonts w:hint="eastAsia" w:cs="仿宋_GB2312"/>
          <w:sz w:val="24"/>
          <w:highlight w:val="none"/>
        </w:rPr>
        <w:t>（3）资信标及商务标由评标委员会按评审标准统一评分。</w:t>
      </w:r>
    </w:p>
    <w:p>
      <w:pPr>
        <w:pStyle w:val="13"/>
        <w:wordWrap w:val="0"/>
        <w:adjustRightInd w:val="0"/>
        <w:spacing w:line="360" w:lineRule="auto"/>
        <w:ind w:firstLine="480" w:firstLineChars="200"/>
        <w:rPr>
          <w:rFonts w:ascii="Times New Roman" w:hAnsi="Times New Roman" w:eastAsia="仿宋_GB2312" w:cs="仿宋_GB2312"/>
          <w:kern w:val="2"/>
          <w:sz w:val="24"/>
          <w:szCs w:val="24"/>
          <w:highlight w:val="none"/>
        </w:rPr>
      </w:pPr>
      <w:r>
        <w:rPr>
          <w:rFonts w:hint="eastAsia" w:ascii="Times New Roman" w:hAnsi="Times New Roman" w:eastAsia="仿宋_GB2312" w:cs="仿宋_GB2312"/>
          <w:kern w:val="2"/>
          <w:sz w:val="24"/>
          <w:szCs w:val="24"/>
          <w:highlight w:val="none"/>
        </w:rPr>
        <w:t>（4）评审时如发现所投设备在数量、技术参数性能、质量有重大偏离，其投标文件将被拒绝，经评标委员会集体认定（以少数服从多数的原则），作为无效标处理。但允许在基本满足招标文件技术要求的前提下出现的微小差异。</w:t>
      </w:r>
    </w:p>
    <w:p>
      <w:pPr>
        <w:spacing w:line="360" w:lineRule="auto"/>
        <w:rPr>
          <w:rFonts w:cs="仿宋_GB2312"/>
          <w:spacing w:val="11"/>
          <w:sz w:val="24"/>
          <w:highlight w:val="none"/>
        </w:rPr>
      </w:pPr>
    </w:p>
    <w:p>
      <w:pPr>
        <w:pStyle w:val="4"/>
        <w:spacing w:before="140" w:after="140" w:line="360" w:lineRule="auto"/>
        <w:jc w:val="center"/>
        <w:rPr>
          <w:rFonts w:ascii="Times New Roman" w:hAnsi="Times New Roman" w:eastAsia="仿宋_GB2312" w:cs="仿宋_GB2312"/>
          <w:sz w:val="24"/>
          <w:szCs w:val="24"/>
          <w:highlight w:val="none"/>
        </w:rPr>
      </w:pPr>
      <w:r>
        <w:rPr>
          <w:rFonts w:hint="eastAsia" w:ascii="Times New Roman" w:hAnsi="Times New Roman" w:eastAsia="仿宋_GB2312" w:cs="仿宋_GB2312"/>
          <w:sz w:val="24"/>
          <w:szCs w:val="24"/>
          <w:highlight w:val="none"/>
        </w:rPr>
        <w:t>6、投标文件澄清、报价修正</w:t>
      </w:r>
    </w:p>
    <w:p>
      <w:pPr>
        <w:spacing w:line="440" w:lineRule="exact"/>
        <w:ind w:firstLine="542"/>
        <w:contextualSpacing/>
        <w:rPr>
          <w:rFonts w:cs="仿宋_GB2312"/>
          <w:sz w:val="24"/>
          <w:highlight w:val="none"/>
        </w:rPr>
      </w:pPr>
      <w:r>
        <w:rPr>
          <w:rFonts w:hint="eastAsia" w:cs="仿宋_GB2312"/>
          <w:spacing w:val="6"/>
          <w:sz w:val="24"/>
          <w:highlight w:val="none"/>
        </w:rPr>
        <w:t xml:space="preserve">6.1 </w:t>
      </w:r>
      <w:r>
        <w:rPr>
          <w:rFonts w:hint="eastAsia" w:cs="仿宋_GB2312"/>
          <w:spacing w:val="11"/>
          <w:sz w:val="24"/>
          <w:highlight w:val="none"/>
        </w:rPr>
        <w:t>在评标过程中，评标委员会可以书面形式要求投标人对所提交的投标</w:t>
      </w:r>
      <w:r>
        <w:rPr>
          <w:rFonts w:hint="eastAsia" w:cs="仿宋_GB2312"/>
          <w:spacing w:val="10"/>
          <w:sz w:val="24"/>
          <w:highlight w:val="none"/>
        </w:rPr>
        <w:t>文件中不明确的内容进行书面澄清、说明或者补正。投标人代表应保证联络方</w:t>
      </w:r>
      <w:r>
        <w:rPr>
          <w:rFonts w:hint="eastAsia" w:cs="仿宋_GB2312"/>
          <w:spacing w:val="9"/>
          <w:sz w:val="24"/>
          <w:highlight w:val="none"/>
        </w:rPr>
        <w:t>式畅通</w:t>
      </w:r>
      <w:r>
        <w:rPr>
          <w:rFonts w:hint="eastAsia" w:cs="仿宋_GB2312"/>
          <w:spacing w:val="10"/>
          <w:sz w:val="24"/>
          <w:highlight w:val="none"/>
        </w:rPr>
        <w:t>，</w:t>
      </w:r>
      <w:r>
        <w:rPr>
          <w:rFonts w:hint="eastAsia" w:cs="仿宋_GB2312"/>
          <w:spacing w:val="9"/>
          <w:sz w:val="24"/>
          <w:highlight w:val="none"/>
        </w:rPr>
        <w:t>并应在接到电话通知后</w:t>
      </w:r>
      <w:r>
        <w:rPr>
          <w:rFonts w:hint="eastAsia" w:cs="仿宋_GB2312"/>
          <w:spacing w:val="4"/>
          <w:sz w:val="24"/>
          <w:highlight w:val="none"/>
        </w:rPr>
        <w:t>30</w:t>
      </w:r>
      <w:r>
        <w:rPr>
          <w:rFonts w:hint="eastAsia" w:cs="仿宋_GB2312"/>
          <w:spacing w:val="9"/>
          <w:sz w:val="24"/>
          <w:highlight w:val="none"/>
        </w:rPr>
        <w:t>分钟内</w:t>
      </w:r>
      <w:r>
        <w:rPr>
          <w:rFonts w:hint="eastAsia" w:cs="仿宋_GB2312"/>
          <w:spacing w:val="11"/>
          <w:sz w:val="24"/>
          <w:highlight w:val="none"/>
        </w:rPr>
        <w:t>到达指定地点进行书面澄清、说明或者补正，如</w:t>
      </w:r>
      <w:r>
        <w:rPr>
          <w:rFonts w:hint="eastAsia" w:cs="仿宋_GB2312"/>
          <w:spacing w:val="10"/>
          <w:sz w:val="24"/>
          <w:highlight w:val="none"/>
        </w:rPr>
        <w:t>无法联络到投标人代表或投标人代表在接到电话通</w:t>
      </w:r>
      <w:r>
        <w:rPr>
          <w:rFonts w:hint="eastAsia" w:cs="仿宋_GB2312"/>
          <w:spacing w:val="7"/>
          <w:sz w:val="24"/>
          <w:highlight w:val="none"/>
        </w:rPr>
        <w:t>知后</w:t>
      </w:r>
      <w:r>
        <w:rPr>
          <w:rFonts w:hint="eastAsia" w:cs="仿宋_GB2312"/>
          <w:spacing w:val="4"/>
          <w:sz w:val="24"/>
          <w:highlight w:val="none"/>
        </w:rPr>
        <w:t>30</w:t>
      </w:r>
      <w:r>
        <w:rPr>
          <w:rFonts w:hint="eastAsia" w:cs="仿宋_GB2312"/>
          <w:spacing w:val="7"/>
          <w:sz w:val="24"/>
          <w:highlight w:val="none"/>
        </w:rPr>
        <w:t>分钟内未能到达指定</w:t>
      </w:r>
      <w:r>
        <w:rPr>
          <w:rFonts w:hint="eastAsia" w:cs="仿宋_GB2312"/>
          <w:spacing w:val="6"/>
          <w:sz w:val="24"/>
          <w:highlight w:val="none"/>
        </w:rPr>
        <w:t>地点进行书面澄清</w:t>
      </w:r>
      <w:r>
        <w:rPr>
          <w:rFonts w:hint="eastAsia" w:cs="仿宋_GB2312"/>
          <w:spacing w:val="7"/>
          <w:sz w:val="24"/>
          <w:highlight w:val="none"/>
        </w:rPr>
        <w:t>、</w:t>
      </w:r>
      <w:r>
        <w:rPr>
          <w:rFonts w:hint="eastAsia" w:cs="仿宋_GB2312"/>
          <w:spacing w:val="6"/>
          <w:sz w:val="24"/>
          <w:highlight w:val="none"/>
        </w:rPr>
        <w:t>说明或者补正</w:t>
      </w:r>
      <w:r>
        <w:rPr>
          <w:rFonts w:hint="eastAsia" w:cs="仿宋_GB2312"/>
          <w:spacing w:val="7"/>
          <w:sz w:val="24"/>
          <w:highlight w:val="none"/>
        </w:rPr>
        <w:t>，</w:t>
      </w:r>
      <w:r>
        <w:rPr>
          <w:rFonts w:hint="eastAsia" w:cs="仿宋_GB2312"/>
          <w:spacing w:val="6"/>
          <w:sz w:val="24"/>
          <w:highlight w:val="none"/>
        </w:rPr>
        <w:t>评标委员会将视作投标人放弃澄清</w:t>
      </w:r>
      <w:r>
        <w:rPr>
          <w:rFonts w:hint="eastAsia" w:cs="仿宋_GB2312"/>
          <w:spacing w:val="7"/>
          <w:sz w:val="24"/>
          <w:highlight w:val="none"/>
        </w:rPr>
        <w:t>、说明或者补正</w:t>
      </w:r>
      <w:r>
        <w:rPr>
          <w:rFonts w:hint="eastAsia" w:cs="仿宋_GB2312"/>
          <w:spacing w:val="8"/>
          <w:sz w:val="24"/>
          <w:highlight w:val="none"/>
        </w:rPr>
        <w:t>。</w:t>
      </w:r>
    </w:p>
    <w:p>
      <w:pPr>
        <w:spacing w:line="440" w:lineRule="exact"/>
        <w:ind w:left="11" w:right="68" w:firstLine="411"/>
        <w:contextualSpacing/>
        <w:rPr>
          <w:rFonts w:cs="仿宋_GB2312"/>
          <w:sz w:val="24"/>
          <w:highlight w:val="none"/>
        </w:rPr>
      </w:pPr>
      <w:r>
        <w:rPr>
          <w:rFonts w:hint="eastAsia" w:cs="仿宋_GB2312"/>
          <w:spacing w:val="6"/>
          <w:sz w:val="24"/>
          <w:highlight w:val="none"/>
        </w:rPr>
        <w:t xml:space="preserve">6.2 </w:t>
      </w:r>
      <w:r>
        <w:rPr>
          <w:rFonts w:hint="eastAsia" w:cs="仿宋_GB2312"/>
          <w:spacing w:val="11"/>
          <w:sz w:val="24"/>
          <w:highlight w:val="none"/>
        </w:rPr>
        <w:t>有关澄清、说明与补正，投标人应以书面形式进行，对投标报价和实</w:t>
      </w:r>
      <w:r>
        <w:rPr>
          <w:rFonts w:hint="eastAsia" w:cs="仿宋_GB2312"/>
          <w:spacing w:val="10"/>
          <w:sz w:val="24"/>
          <w:highlight w:val="none"/>
        </w:rPr>
        <w:t>质性的内容不得更改</w:t>
      </w:r>
      <w:r>
        <w:rPr>
          <w:rFonts w:hint="eastAsia" w:cs="仿宋_GB2312"/>
          <w:spacing w:val="9"/>
          <w:sz w:val="24"/>
          <w:highlight w:val="none"/>
        </w:rPr>
        <w:t>（报价修正除外</w:t>
      </w:r>
      <w:r>
        <w:rPr>
          <w:rFonts w:hint="eastAsia" w:cs="仿宋_GB2312"/>
          <w:spacing w:val="11"/>
          <w:sz w:val="24"/>
          <w:highlight w:val="none"/>
        </w:rPr>
        <w:t>）。</w:t>
      </w:r>
      <w:r>
        <w:rPr>
          <w:rFonts w:hint="eastAsia" w:cs="仿宋_GB2312"/>
          <w:spacing w:val="9"/>
          <w:sz w:val="24"/>
          <w:highlight w:val="none"/>
        </w:rPr>
        <w:t>投标人的书面澄清</w:t>
      </w:r>
      <w:r>
        <w:rPr>
          <w:rFonts w:hint="eastAsia" w:cs="仿宋_GB2312"/>
          <w:spacing w:val="11"/>
          <w:sz w:val="24"/>
          <w:highlight w:val="none"/>
        </w:rPr>
        <w:t>、</w:t>
      </w:r>
      <w:r>
        <w:rPr>
          <w:rFonts w:hint="eastAsia" w:cs="仿宋_GB2312"/>
          <w:spacing w:val="9"/>
          <w:sz w:val="24"/>
          <w:highlight w:val="none"/>
        </w:rPr>
        <w:t>说明和补正属于投标文件的组成部分</w:t>
      </w:r>
      <w:r>
        <w:rPr>
          <w:rFonts w:hint="eastAsia" w:cs="仿宋_GB2312"/>
          <w:spacing w:val="10"/>
          <w:sz w:val="24"/>
          <w:highlight w:val="none"/>
        </w:rPr>
        <w:t>。</w:t>
      </w:r>
    </w:p>
    <w:p>
      <w:pPr>
        <w:spacing w:line="440" w:lineRule="exact"/>
        <w:ind w:left="21" w:right="77" w:firstLine="402"/>
        <w:contextualSpacing/>
        <w:rPr>
          <w:rFonts w:cs="仿宋_GB2312"/>
          <w:sz w:val="24"/>
          <w:highlight w:val="none"/>
        </w:rPr>
      </w:pPr>
      <w:r>
        <w:rPr>
          <w:rFonts w:hint="eastAsia" w:cs="仿宋_GB2312"/>
          <w:spacing w:val="7"/>
          <w:sz w:val="24"/>
          <w:highlight w:val="none"/>
        </w:rPr>
        <w:t xml:space="preserve">6.3 </w:t>
      </w:r>
      <w:r>
        <w:rPr>
          <w:rFonts w:hint="eastAsia" w:cs="仿宋_GB2312"/>
          <w:spacing w:val="11"/>
          <w:sz w:val="24"/>
          <w:highlight w:val="none"/>
        </w:rPr>
        <w:t>评标委员会对投标人提交</w:t>
      </w:r>
      <w:r>
        <w:rPr>
          <w:rFonts w:hint="eastAsia" w:cs="仿宋_GB2312"/>
          <w:spacing w:val="10"/>
          <w:sz w:val="24"/>
          <w:highlight w:val="none"/>
        </w:rPr>
        <w:t>的澄清</w:t>
      </w:r>
      <w:r>
        <w:rPr>
          <w:rFonts w:hint="eastAsia" w:cs="仿宋_GB2312"/>
          <w:spacing w:val="12"/>
          <w:sz w:val="24"/>
          <w:highlight w:val="none"/>
        </w:rPr>
        <w:t>、</w:t>
      </w:r>
      <w:r>
        <w:rPr>
          <w:rFonts w:hint="eastAsia" w:cs="仿宋_GB2312"/>
          <w:spacing w:val="10"/>
          <w:sz w:val="24"/>
          <w:highlight w:val="none"/>
        </w:rPr>
        <w:t>说明或补正有疑问的</w:t>
      </w:r>
      <w:r>
        <w:rPr>
          <w:rFonts w:hint="eastAsia" w:cs="仿宋_GB2312"/>
          <w:spacing w:val="12"/>
          <w:sz w:val="24"/>
          <w:highlight w:val="none"/>
        </w:rPr>
        <w:t>，</w:t>
      </w:r>
      <w:r>
        <w:rPr>
          <w:rFonts w:hint="eastAsia" w:cs="仿宋_GB2312"/>
          <w:spacing w:val="10"/>
          <w:sz w:val="24"/>
          <w:highlight w:val="none"/>
        </w:rPr>
        <w:t>可以要求投标人进一步澄清</w:t>
      </w:r>
      <w:r>
        <w:rPr>
          <w:rFonts w:hint="eastAsia" w:cs="仿宋_GB2312"/>
          <w:spacing w:val="12"/>
          <w:sz w:val="24"/>
          <w:highlight w:val="none"/>
        </w:rPr>
        <w:t>、</w:t>
      </w:r>
      <w:r>
        <w:rPr>
          <w:rFonts w:hint="eastAsia" w:cs="仿宋_GB2312"/>
          <w:spacing w:val="10"/>
          <w:sz w:val="24"/>
          <w:highlight w:val="none"/>
        </w:rPr>
        <w:t>说</w:t>
      </w:r>
      <w:r>
        <w:rPr>
          <w:rFonts w:hint="eastAsia" w:cs="仿宋_GB2312"/>
          <w:spacing w:val="8"/>
          <w:sz w:val="24"/>
          <w:highlight w:val="none"/>
        </w:rPr>
        <w:t>明或补正</w:t>
      </w:r>
      <w:r>
        <w:rPr>
          <w:rFonts w:hint="eastAsia" w:cs="仿宋_GB2312"/>
          <w:spacing w:val="9"/>
          <w:sz w:val="24"/>
          <w:highlight w:val="none"/>
        </w:rPr>
        <w:t>，</w:t>
      </w:r>
      <w:r>
        <w:rPr>
          <w:rFonts w:hint="eastAsia" w:cs="仿宋_GB2312"/>
          <w:spacing w:val="8"/>
          <w:sz w:val="24"/>
          <w:highlight w:val="none"/>
        </w:rPr>
        <w:t>直至满足评标委员</w:t>
      </w:r>
      <w:r>
        <w:rPr>
          <w:rFonts w:hint="eastAsia" w:cs="仿宋_GB2312"/>
          <w:spacing w:val="7"/>
          <w:sz w:val="24"/>
          <w:highlight w:val="none"/>
        </w:rPr>
        <w:t>会的要求</w:t>
      </w:r>
      <w:r>
        <w:rPr>
          <w:rFonts w:hint="eastAsia" w:cs="仿宋_GB2312"/>
          <w:spacing w:val="9"/>
          <w:sz w:val="24"/>
          <w:highlight w:val="none"/>
        </w:rPr>
        <w:t>。</w:t>
      </w:r>
    </w:p>
    <w:p>
      <w:pPr>
        <w:spacing w:line="440" w:lineRule="exact"/>
        <w:ind w:firstLine="423"/>
        <w:contextualSpacing/>
        <w:rPr>
          <w:rFonts w:cs="仿宋_GB2312"/>
          <w:sz w:val="24"/>
          <w:highlight w:val="none"/>
        </w:rPr>
      </w:pPr>
      <w:r>
        <w:rPr>
          <w:rFonts w:hint="eastAsia" w:cs="仿宋_GB2312"/>
          <w:spacing w:val="5"/>
          <w:sz w:val="24"/>
          <w:highlight w:val="none"/>
        </w:rPr>
        <w:t>6.</w:t>
      </w:r>
      <w:r>
        <w:rPr>
          <w:rFonts w:hint="eastAsia" w:cs="仿宋_GB2312"/>
          <w:spacing w:val="4"/>
          <w:sz w:val="24"/>
          <w:highlight w:val="none"/>
        </w:rPr>
        <w:t>4</w:t>
      </w:r>
      <w:r>
        <w:rPr>
          <w:rFonts w:hint="eastAsia" w:cs="仿宋_GB2312"/>
          <w:spacing w:val="7"/>
          <w:sz w:val="24"/>
          <w:highlight w:val="none"/>
        </w:rPr>
        <w:t>评标委员会不接受投标人主动提出的澄清</w:t>
      </w:r>
      <w:r>
        <w:rPr>
          <w:rFonts w:hint="eastAsia" w:cs="仿宋_GB2312"/>
          <w:spacing w:val="9"/>
          <w:sz w:val="24"/>
          <w:highlight w:val="none"/>
        </w:rPr>
        <w:t>、</w:t>
      </w:r>
      <w:r>
        <w:rPr>
          <w:rFonts w:hint="eastAsia" w:cs="仿宋_GB2312"/>
          <w:spacing w:val="7"/>
          <w:sz w:val="24"/>
          <w:highlight w:val="none"/>
        </w:rPr>
        <w:t>说明或补正</w:t>
      </w:r>
      <w:r>
        <w:rPr>
          <w:rFonts w:hint="eastAsia" w:cs="仿宋_GB2312"/>
          <w:spacing w:val="9"/>
          <w:sz w:val="24"/>
          <w:highlight w:val="none"/>
        </w:rPr>
        <w:t>。</w:t>
      </w:r>
    </w:p>
    <w:p>
      <w:pPr>
        <w:spacing w:line="440" w:lineRule="exact"/>
        <w:ind w:firstLine="423"/>
        <w:contextualSpacing/>
        <w:rPr>
          <w:rFonts w:cs="仿宋_GB2312"/>
          <w:sz w:val="24"/>
          <w:highlight w:val="none"/>
        </w:rPr>
      </w:pPr>
      <w:r>
        <w:rPr>
          <w:rFonts w:hint="eastAsia" w:cs="仿宋_GB2312"/>
          <w:spacing w:val="4"/>
          <w:sz w:val="24"/>
          <w:highlight w:val="none"/>
        </w:rPr>
        <w:t xml:space="preserve">6.5 </w:t>
      </w:r>
      <w:r>
        <w:rPr>
          <w:rFonts w:hint="eastAsia" w:cs="仿宋_GB2312"/>
          <w:spacing w:val="8"/>
          <w:sz w:val="24"/>
          <w:highlight w:val="none"/>
        </w:rPr>
        <w:t>投标报价出现前后不一致的，</w:t>
      </w:r>
      <w:r>
        <w:rPr>
          <w:rFonts w:hint="eastAsia" w:cs="仿宋_GB2312"/>
          <w:spacing w:val="7"/>
          <w:sz w:val="24"/>
          <w:highlight w:val="none"/>
        </w:rPr>
        <w:t>评标委员会应按照下列原则修正</w:t>
      </w:r>
      <w:r>
        <w:rPr>
          <w:rFonts w:hint="eastAsia" w:cs="仿宋_GB2312"/>
          <w:spacing w:val="8"/>
          <w:sz w:val="24"/>
          <w:highlight w:val="none"/>
        </w:rPr>
        <w:t>：</w:t>
      </w:r>
    </w:p>
    <w:p>
      <w:pPr>
        <w:adjustRightInd w:val="0"/>
        <w:snapToGrid w:val="0"/>
        <w:spacing w:line="560" w:lineRule="exact"/>
        <w:ind w:firstLine="513" w:firstLineChars="214"/>
        <w:rPr>
          <w:rFonts w:cs="仿宋_GB2312"/>
          <w:snapToGrid w:val="0"/>
          <w:kern w:val="0"/>
          <w:sz w:val="24"/>
          <w:highlight w:val="none"/>
        </w:rPr>
      </w:pPr>
      <w:r>
        <w:rPr>
          <w:rFonts w:hint="eastAsia" w:cs="仿宋_GB2312"/>
          <w:snapToGrid w:val="0"/>
          <w:kern w:val="0"/>
          <w:sz w:val="24"/>
          <w:highlight w:val="none"/>
        </w:rPr>
        <w:t>（1）正本与副本不一致时，以正本为准；</w:t>
      </w:r>
    </w:p>
    <w:p>
      <w:pPr>
        <w:adjustRightInd w:val="0"/>
        <w:snapToGrid w:val="0"/>
        <w:spacing w:line="560" w:lineRule="exact"/>
        <w:ind w:firstLine="513" w:firstLineChars="214"/>
        <w:rPr>
          <w:rFonts w:cs="仿宋_GB2312"/>
          <w:snapToGrid w:val="0"/>
          <w:kern w:val="0"/>
          <w:sz w:val="24"/>
          <w:highlight w:val="none"/>
        </w:rPr>
      </w:pPr>
      <w:r>
        <w:rPr>
          <w:rFonts w:hint="eastAsia" w:cs="仿宋_GB2312"/>
          <w:snapToGrid w:val="0"/>
          <w:kern w:val="0"/>
          <w:sz w:val="24"/>
          <w:highlight w:val="none"/>
        </w:rPr>
        <w:t>（2）对不同文字文本投标文件的解释发生异议的，以中文文本为准；</w:t>
      </w:r>
    </w:p>
    <w:p>
      <w:pPr>
        <w:adjustRightInd w:val="0"/>
        <w:snapToGrid w:val="0"/>
        <w:spacing w:line="560" w:lineRule="exact"/>
        <w:ind w:firstLine="513" w:firstLineChars="214"/>
        <w:rPr>
          <w:rFonts w:cs="仿宋_GB2312"/>
          <w:snapToGrid w:val="0"/>
          <w:kern w:val="0"/>
          <w:sz w:val="24"/>
          <w:highlight w:val="none"/>
        </w:rPr>
      </w:pPr>
      <w:r>
        <w:rPr>
          <w:rFonts w:hint="eastAsia" w:cs="仿宋_GB2312"/>
          <w:snapToGrid w:val="0"/>
          <w:kern w:val="0"/>
          <w:sz w:val="24"/>
          <w:highlight w:val="none"/>
        </w:rPr>
        <w:t>（3）投标函总价与投标报价明细表合计金额不一致的，以投标函为准；但投标函存在明显单位、文字错误的，则澄清、说明、补正；</w:t>
      </w:r>
    </w:p>
    <w:p>
      <w:pPr>
        <w:adjustRightInd w:val="0"/>
        <w:snapToGrid w:val="0"/>
        <w:spacing w:line="560" w:lineRule="exact"/>
        <w:ind w:firstLine="513" w:firstLineChars="214"/>
        <w:rPr>
          <w:rFonts w:cs="仿宋_GB2312"/>
          <w:snapToGrid w:val="0"/>
          <w:kern w:val="0"/>
          <w:sz w:val="24"/>
          <w:highlight w:val="none"/>
        </w:rPr>
      </w:pPr>
      <w:r>
        <w:rPr>
          <w:rFonts w:hint="eastAsia" w:cs="仿宋_GB2312"/>
          <w:snapToGrid w:val="0"/>
          <w:kern w:val="0"/>
          <w:sz w:val="24"/>
          <w:highlight w:val="none"/>
        </w:rPr>
        <w:t>（4）投标报价明细表合计金额与按综合单价汇总金额不一致的，以合计金额为准，修改综合单价；</w:t>
      </w:r>
    </w:p>
    <w:p>
      <w:pPr>
        <w:adjustRightInd w:val="0"/>
        <w:snapToGrid w:val="0"/>
        <w:spacing w:line="560" w:lineRule="exact"/>
        <w:ind w:firstLine="513" w:firstLineChars="214"/>
        <w:rPr>
          <w:rFonts w:cs="仿宋_GB2312"/>
          <w:snapToGrid w:val="0"/>
          <w:kern w:val="0"/>
          <w:sz w:val="24"/>
          <w:highlight w:val="none"/>
        </w:rPr>
      </w:pPr>
      <w:r>
        <w:rPr>
          <w:rFonts w:hint="eastAsia" w:cs="仿宋_GB2312"/>
          <w:snapToGrid w:val="0"/>
          <w:kern w:val="0"/>
          <w:sz w:val="24"/>
          <w:highlight w:val="none"/>
        </w:rPr>
        <w:t>（5）大写金额和小写金额不一致的，以大写金额为准；但大写有明显单位、文字错误的除外；</w:t>
      </w:r>
    </w:p>
    <w:p>
      <w:pPr>
        <w:adjustRightInd w:val="0"/>
        <w:snapToGrid w:val="0"/>
        <w:spacing w:line="560" w:lineRule="exact"/>
        <w:ind w:firstLine="513" w:firstLineChars="214"/>
        <w:rPr>
          <w:rFonts w:cs="仿宋_GB2312"/>
          <w:sz w:val="24"/>
          <w:highlight w:val="none"/>
        </w:rPr>
      </w:pPr>
      <w:r>
        <w:rPr>
          <w:rFonts w:hint="eastAsia" w:cs="仿宋_GB2312"/>
          <w:snapToGrid w:val="0"/>
          <w:kern w:val="0"/>
          <w:sz w:val="24"/>
          <w:highlight w:val="none"/>
        </w:rPr>
        <w:t>（6）计量单位与第二章“投标人须知”第1.12款不符的，按招标文件规定进行修正。</w:t>
      </w:r>
    </w:p>
    <w:p>
      <w:pPr>
        <w:spacing w:line="440" w:lineRule="exact"/>
        <w:ind w:firstLine="508" w:firstLineChars="200"/>
        <w:contextualSpacing/>
        <w:rPr>
          <w:rFonts w:cs="仿宋_GB2312"/>
          <w:spacing w:val="7"/>
          <w:sz w:val="24"/>
          <w:highlight w:val="none"/>
        </w:rPr>
      </w:pPr>
    </w:p>
    <w:p>
      <w:pPr>
        <w:pStyle w:val="8"/>
        <w:rPr>
          <w:rFonts w:eastAsia="仿宋_GB2312" w:cs="仿宋_GB2312"/>
          <w:sz w:val="24"/>
          <w:szCs w:val="24"/>
          <w:highlight w:val="none"/>
        </w:rPr>
      </w:pPr>
    </w:p>
    <w:p>
      <w:pPr>
        <w:pStyle w:val="4"/>
        <w:spacing w:before="140" w:after="140" w:line="360" w:lineRule="auto"/>
        <w:jc w:val="center"/>
        <w:rPr>
          <w:rFonts w:ascii="Times New Roman" w:hAnsi="Times New Roman" w:eastAsia="仿宋_GB2312" w:cs="仿宋_GB2312"/>
          <w:sz w:val="24"/>
          <w:szCs w:val="24"/>
          <w:highlight w:val="none"/>
        </w:rPr>
      </w:pPr>
      <w:r>
        <w:rPr>
          <w:rFonts w:hint="eastAsia" w:ascii="Times New Roman" w:hAnsi="Times New Roman" w:eastAsia="仿宋_GB2312" w:cs="仿宋_GB2312"/>
          <w:sz w:val="24"/>
          <w:szCs w:val="24"/>
          <w:highlight w:val="none"/>
        </w:rPr>
        <w:t>7、排序与推荐中标候选人</w:t>
      </w:r>
    </w:p>
    <w:p>
      <w:pPr>
        <w:spacing w:line="440" w:lineRule="exact"/>
        <w:ind w:firstLine="423"/>
        <w:contextualSpacing/>
        <w:rPr>
          <w:rFonts w:cs="仿宋_GB2312"/>
          <w:spacing w:val="7"/>
          <w:sz w:val="24"/>
          <w:highlight w:val="none"/>
        </w:rPr>
      </w:pPr>
      <w:r>
        <w:rPr>
          <w:rFonts w:hint="eastAsia" w:cs="仿宋_GB2312"/>
          <w:spacing w:val="7"/>
          <w:sz w:val="24"/>
          <w:highlight w:val="none"/>
        </w:rPr>
        <w:t>7.1投标人的综合得分等于资信标、技术标与商务标得分之和。</w:t>
      </w:r>
    </w:p>
    <w:p>
      <w:pPr>
        <w:spacing w:line="440" w:lineRule="exact"/>
        <w:ind w:firstLine="423"/>
        <w:contextualSpacing/>
        <w:rPr>
          <w:rFonts w:cs="仿宋_GB2312"/>
          <w:spacing w:val="7"/>
          <w:sz w:val="24"/>
          <w:highlight w:val="none"/>
        </w:rPr>
      </w:pPr>
      <w:r>
        <w:rPr>
          <w:rFonts w:hint="eastAsia" w:cs="仿宋_GB2312"/>
          <w:spacing w:val="7"/>
          <w:sz w:val="24"/>
          <w:highlight w:val="none"/>
        </w:rPr>
        <w:t>7.2评标委员会按投标人的综合得分由高至低推荐中标候选人（中标候选人数见投标人须知前附表）。若得分相同，则投标报价低者排名在前；若投标报价也相同，则资信分高者排名在前；若资信分也相同，则由评标委员会按少数服从多数的原则通过投票表决决定排名先后。</w:t>
      </w:r>
    </w:p>
    <w:p>
      <w:pPr>
        <w:pStyle w:val="4"/>
        <w:spacing w:before="140" w:after="140" w:line="360" w:lineRule="auto"/>
        <w:jc w:val="center"/>
        <w:rPr>
          <w:rFonts w:ascii="Times New Roman" w:hAnsi="Times New Roman" w:eastAsia="仿宋_GB2312" w:cs="仿宋_GB2312"/>
          <w:sz w:val="24"/>
          <w:szCs w:val="24"/>
          <w:highlight w:val="none"/>
        </w:rPr>
      </w:pPr>
      <w:r>
        <w:rPr>
          <w:rFonts w:hint="eastAsia" w:ascii="Times New Roman" w:hAnsi="Times New Roman" w:eastAsia="仿宋_GB2312" w:cs="仿宋_GB2312"/>
          <w:sz w:val="24"/>
          <w:szCs w:val="24"/>
          <w:highlight w:val="none"/>
        </w:rPr>
        <w:t>8、完成评标报告</w:t>
      </w:r>
    </w:p>
    <w:p>
      <w:pPr>
        <w:spacing w:line="400" w:lineRule="exact"/>
        <w:ind w:right="2" w:firstLine="422"/>
        <w:rPr>
          <w:rFonts w:cs="仿宋_GB2312"/>
          <w:sz w:val="24"/>
          <w:highlight w:val="none"/>
        </w:rPr>
      </w:pPr>
      <w:r>
        <w:rPr>
          <w:rFonts w:hint="eastAsia" w:cs="仿宋_GB2312"/>
          <w:spacing w:val="6"/>
          <w:sz w:val="24"/>
          <w:highlight w:val="none"/>
        </w:rPr>
        <w:t xml:space="preserve">8.1 </w:t>
      </w:r>
      <w:r>
        <w:rPr>
          <w:rFonts w:hint="eastAsia" w:cs="仿宋_GB2312"/>
          <w:spacing w:val="11"/>
          <w:sz w:val="24"/>
          <w:highlight w:val="none"/>
        </w:rPr>
        <w:t>评标委员会完成评标后，应当根据全体评标成员签字的原始评标记录和</w:t>
      </w:r>
      <w:r>
        <w:rPr>
          <w:rFonts w:hint="eastAsia" w:cs="仿宋_GB2312"/>
          <w:spacing w:val="10"/>
          <w:sz w:val="24"/>
          <w:highlight w:val="none"/>
        </w:rPr>
        <w:t>评标结果编写评标</w:t>
      </w:r>
      <w:r>
        <w:rPr>
          <w:rFonts w:hint="eastAsia" w:cs="仿宋_GB2312"/>
          <w:spacing w:val="8"/>
          <w:sz w:val="24"/>
          <w:highlight w:val="none"/>
        </w:rPr>
        <w:t>报告，并推荐中标候选人，评审报告由评标委员会成员</w:t>
      </w:r>
      <w:r>
        <w:rPr>
          <w:rFonts w:hint="eastAsia" w:cs="仿宋_GB2312"/>
          <w:spacing w:val="7"/>
          <w:sz w:val="24"/>
          <w:highlight w:val="none"/>
        </w:rPr>
        <w:t>签字确认提交招标人</w:t>
      </w:r>
      <w:r>
        <w:rPr>
          <w:rFonts w:hint="eastAsia" w:cs="仿宋_GB2312"/>
          <w:spacing w:val="8"/>
          <w:sz w:val="24"/>
          <w:highlight w:val="none"/>
        </w:rPr>
        <w:t>，</w:t>
      </w:r>
      <w:r>
        <w:rPr>
          <w:rFonts w:hint="eastAsia" w:cs="仿宋_GB2312"/>
          <w:spacing w:val="7"/>
          <w:sz w:val="24"/>
          <w:highlight w:val="none"/>
        </w:rPr>
        <w:t>并抄送有关监督部门</w:t>
      </w:r>
      <w:r>
        <w:rPr>
          <w:rFonts w:hint="eastAsia" w:cs="仿宋_GB2312"/>
          <w:spacing w:val="8"/>
          <w:sz w:val="24"/>
          <w:highlight w:val="none"/>
        </w:rPr>
        <w:t>。</w:t>
      </w:r>
    </w:p>
    <w:p>
      <w:pPr>
        <w:spacing w:line="400" w:lineRule="exact"/>
        <w:ind w:left="3" w:right="2" w:firstLine="419"/>
        <w:rPr>
          <w:rFonts w:cs="仿宋_GB2312"/>
          <w:sz w:val="24"/>
          <w:highlight w:val="none"/>
        </w:rPr>
      </w:pPr>
      <w:r>
        <w:rPr>
          <w:rFonts w:hint="eastAsia" w:cs="仿宋_GB2312"/>
          <w:spacing w:val="6"/>
          <w:sz w:val="24"/>
          <w:highlight w:val="none"/>
        </w:rPr>
        <w:t xml:space="preserve">8.2 </w:t>
      </w:r>
      <w:r>
        <w:rPr>
          <w:rFonts w:hint="eastAsia" w:cs="仿宋_GB2312"/>
          <w:spacing w:val="11"/>
          <w:sz w:val="24"/>
          <w:highlight w:val="none"/>
        </w:rPr>
        <w:t>评标委员会成员对需要共同认定的事项存在争议的，应当按照少数服从</w:t>
      </w:r>
      <w:r>
        <w:rPr>
          <w:rFonts w:hint="eastAsia" w:cs="仿宋_GB2312"/>
          <w:spacing w:val="10"/>
          <w:sz w:val="24"/>
          <w:highlight w:val="none"/>
        </w:rPr>
        <w:t>多数的原则作出结</w:t>
      </w:r>
      <w:r>
        <w:rPr>
          <w:rFonts w:hint="eastAsia" w:cs="仿宋_GB2312"/>
          <w:spacing w:val="8"/>
          <w:sz w:val="24"/>
          <w:highlight w:val="none"/>
        </w:rPr>
        <w:t>论。持不同意见的评标委员会成员应当在评标</w:t>
      </w:r>
      <w:r>
        <w:rPr>
          <w:rFonts w:hint="eastAsia" w:cs="仿宋_GB2312"/>
          <w:spacing w:val="7"/>
          <w:sz w:val="24"/>
          <w:highlight w:val="none"/>
        </w:rPr>
        <w:t>报告上签署不同意见及理由</w:t>
      </w:r>
      <w:r>
        <w:rPr>
          <w:rFonts w:hint="eastAsia" w:cs="仿宋_GB2312"/>
          <w:spacing w:val="8"/>
          <w:sz w:val="24"/>
          <w:highlight w:val="none"/>
        </w:rPr>
        <w:t>，</w:t>
      </w:r>
      <w:r>
        <w:rPr>
          <w:rFonts w:hint="eastAsia" w:cs="仿宋_GB2312"/>
          <w:spacing w:val="7"/>
          <w:sz w:val="24"/>
          <w:highlight w:val="none"/>
        </w:rPr>
        <w:t>否则视为同意评标报告</w:t>
      </w:r>
      <w:r>
        <w:rPr>
          <w:rFonts w:hint="eastAsia" w:cs="仿宋_GB2312"/>
          <w:spacing w:val="8"/>
          <w:sz w:val="24"/>
          <w:highlight w:val="none"/>
        </w:rPr>
        <w:t>。</w:t>
      </w:r>
    </w:p>
    <w:p>
      <w:pPr>
        <w:spacing w:line="400" w:lineRule="exact"/>
        <w:ind w:firstLine="422"/>
        <w:rPr>
          <w:rFonts w:cs="仿宋_GB2312"/>
          <w:sz w:val="24"/>
          <w:highlight w:val="none"/>
        </w:rPr>
      </w:pPr>
      <w:r>
        <w:rPr>
          <w:rFonts w:hint="eastAsia" w:cs="仿宋_GB2312"/>
          <w:spacing w:val="3"/>
          <w:sz w:val="24"/>
          <w:highlight w:val="none"/>
        </w:rPr>
        <w:t xml:space="preserve">8.3 </w:t>
      </w:r>
      <w:r>
        <w:rPr>
          <w:rFonts w:hint="eastAsia" w:cs="仿宋_GB2312"/>
          <w:spacing w:val="5"/>
          <w:sz w:val="24"/>
          <w:highlight w:val="none"/>
        </w:rPr>
        <w:t>评标报告应包</w:t>
      </w:r>
      <w:r>
        <w:rPr>
          <w:rFonts w:hint="eastAsia" w:cs="仿宋_GB2312"/>
          <w:spacing w:val="4"/>
          <w:sz w:val="24"/>
          <w:highlight w:val="none"/>
        </w:rPr>
        <w:t>括以下内容</w:t>
      </w:r>
      <w:r>
        <w:rPr>
          <w:rFonts w:hint="eastAsia" w:cs="仿宋_GB2312"/>
          <w:spacing w:val="5"/>
          <w:sz w:val="24"/>
          <w:highlight w:val="none"/>
        </w:rPr>
        <w:t>：</w:t>
      </w:r>
    </w:p>
    <w:p>
      <w:pPr>
        <w:spacing w:line="400" w:lineRule="exact"/>
        <w:ind w:firstLine="431"/>
        <w:rPr>
          <w:rFonts w:cs="仿宋_GB2312"/>
          <w:sz w:val="24"/>
          <w:highlight w:val="none"/>
        </w:rPr>
      </w:pPr>
      <w:r>
        <w:rPr>
          <w:rFonts w:hint="eastAsia" w:cs="仿宋_GB2312"/>
          <w:spacing w:val="6"/>
          <w:sz w:val="24"/>
          <w:highlight w:val="none"/>
        </w:rPr>
        <w:t>（</w:t>
      </w:r>
      <w:r>
        <w:rPr>
          <w:rFonts w:hint="eastAsia" w:cs="仿宋_GB2312"/>
          <w:spacing w:val="3"/>
          <w:sz w:val="24"/>
          <w:highlight w:val="none"/>
        </w:rPr>
        <w:t>1</w:t>
      </w:r>
      <w:r>
        <w:rPr>
          <w:rFonts w:hint="eastAsia" w:cs="仿宋_GB2312"/>
          <w:spacing w:val="8"/>
          <w:sz w:val="24"/>
          <w:highlight w:val="none"/>
        </w:rPr>
        <w:t>）</w:t>
      </w:r>
      <w:r>
        <w:rPr>
          <w:rFonts w:hint="eastAsia" w:cs="仿宋_GB2312"/>
          <w:spacing w:val="5"/>
          <w:sz w:val="24"/>
          <w:highlight w:val="none"/>
        </w:rPr>
        <w:t>开标记录</w:t>
      </w:r>
      <w:r>
        <w:rPr>
          <w:rFonts w:hint="eastAsia" w:cs="仿宋_GB2312"/>
          <w:spacing w:val="8"/>
          <w:sz w:val="24"/>
          <w:highlight w:val="none"/>
        </w:rPr>
        <w:t>；</w:t>
      </w:r>
    </w:p>
    <w:p>
      <w:pPr>
        <w:spacing w:line="400" w:lineRule="exact"/>
        <w:ind w:firstLine="431"/>
        <w:rPr>
          <w:rFonts w:cs="仿宋_GB2312"/>
          <w:sz w:val="24"/>
          <w:highlight w:val="none"/>
        </w:rPr>
      </w:pPr>
      <w:r>
        <w:rPr>
          <w:rFonts w:hint="eastAsia" w:cs="仿宋_GB2312"/>
          <w:spacing w:val="8"/>
          <w:sz w:val="24"/>
          <w:highlight w:val="none"/>
        </w:rPr>
        <w:t>（</w:t>
      </w:r>
      <w:r>
        <w:rPr>
          <w:rFonts w:hint="eastAsia" w:cs="仿宋_GB2312"/>
          <w:spacing w:val="5"/>
          <w:sz w:val="24"/>
          <w:highlight w:val="none"/>
        </w:rPr>
        <w:t>2</w:t>
      </w:r>
      <w:r>
        <w:rPr>
          <w:rFonts w:hint="eastAsia" w:cs="仿宋_GB2312"/>
          <w:spacing w:val="9"/>
          <w:sz w:val="24"/>
          <w:highlight w:val="none"/>
        </w:rPr>
        <w:t>）</w:t>
      </w:r>
      <w:r>
        <w:rPr>
          <w:rFonts w:hint="eastAsia" w:cs="仿宋_GB2312"/>
          <w:spacing w:val="8"/>
          <w:sz w:val="24"/>
          <w:highlight w:val="none"/>
        </w:rPr>
        <w:t>评标</w:t>
      </w:r>
      <w:r>
        <w:rPr>
          <w:rFonts w:hint="eastAsia" w:cs="仿宋_GB2312"/>
          <w:spacing w:val="7"/>
          <w:sz w:val="24"/>
          <w:highlight w:val="none"/>
        </w:rPr>
        <w:t>内容</w:t>
      </w:r>
      <w:r>
        <w:rPr>
          <w:rFonts w:hint="eastAsia" w:cs="仿宋_GB2312"/>
          <w:spacing w:val="9"/>
          <w:sz w:val="24"/>
          <w:highlight w:val="none"/>
        </w:rPr>
        <w:t>、</w:t>
      </w:r>
      <w:r>
        <w:rPr>
          <w:rFonts w:hint="eastAsia" w:cs="仿宋_GB2312"/>
          <w:spacing w:val="7"/>
          <w:sz w:val="24"/>
          <w:highlight w:val="none"/>
        </w:rPr>
        <w:t>过程和结果</w:t>
      </w:r>
      <w:r>
        <w:rPr>
          <w:rFonts w:hint="eastAsia" w:cs="仿宋_GB2312"/>
          <w:spacing w:val="9"/>
          <w:sz w:val="24"/>
          <w:highlight w:val="none"/>
        </w:rPr>
        <w:t>；</w:t>
      </w:r>
    </w:p>
    <w:p>
      <w:pPr>
        <w:spacing w:line="400" w:lineRule="exact"/>
        <w:ind w:firstLine="431"/>
        <w:rPr>
          <w:rFonts w:cs="仿宋_GB2312"/>
          <w:sz w:val="24"/>
          <w:highlight w:val="none"/>
        </w:rPr>
      </w:pPr>
      <w:r>
        <w:rPr>
          <w:rFonts w:hint="eastAsia" w:cs="仿宋_GB2312"/>
          <w:spacing w:val="6"/>
          <w:sz w:val="24"/>
          <w:highlight w:val="none"/>
        </w:rPr>
        <w:t>（</w:t>
      </w:r>
      <w:r>
        <w:rPr>
          <w:rFonts w:hint="eastAsia" w:cs="仿宋_GB2312"/>
          <w:spacing w:val="3"/>
          <w:sz w:val="24"/>
          <w:highlight w:val="none"/>
        </w:rPr>
        <w:t>3</w:t>
      </w:r>
      <w:r>
        <w:rPr>
          <w:rFonts w:hint="eastAsia" w:cs="仿宋_GB2312"/>
          <w:spacing w:val="8"/>
          <w:sz w:val="24"/>
          <w:highlight w:val="none"/>
        </w:rPr>
        <w:t>）</w:t>
      </w:r>
      <w:r>
        <w:rPr>
          <w:rFonts w:hint="eastAsia" w:cs="仿宋_GB2312"/>
          <w:spacing w:val="6"/>
          <w:sz w:val="24"/>
          <w:highlight w:val="none"/>
        </w:rPr>
        <w:t>否决投标情况说明及依据（包括对投标竞争性认定的理由（若有</w:t>
      </w:r>
      <w:r>
        <w:rPr>
          <w:rFonts w:hint="eastAsia" w:cs="仿宋_GB2312"/>
          <w:spacing w:val="7"/>
          <w:sz w:val="24"/>
          <w:highlight w:val="none"/>
        </w:rPr>
        <w:t>））；</w:t>
      </w:r>
    </w:p>
    <w:p>
      <w:pPr>
        <w:spacing w:line="400" w:lineRule="exact"/>
        <w:ind w:firstLine="431"/>
        <w:rPr>
          <w:rFonts w:cs="仿宋_GB2312"/>
          <w:sz w:val="24"/>
          <w:highlight w:val="none"/>
        </w:rPr>
      </w:pPr>
      <w:r>
        <w:rPr>
          <w:rFonts w:hint="eastAsia" w:cs="仿宋_GB2312"/>
          <w:spacing w:val="7"/>
          <w:sz w:val="24"/>
          <w:highlight w:val="none"/>
        </w:rPr>
        <w:t>（</w:t>
      </w:r>
      <w:r>
        <w:rPr>
          <w:rFonts w:hint="eastAsia" w:cs="仿宋_GB2312"/>
          <w:spacing w:val="4"/>
          <w:sz w:val="24"/>
          <w:highlight w:val="none"/>
        </w:rPr>
        <w:t>4</w:t>
      </w:r>
      <w:r>
        <w:rPr>
          <w:rFonts w:hint="eastAsia" w:cs="仿宋_GB2312"/>
          <w:spacing w:val="9"/>
          <w:sz w:val="24"/>
          <w:highlight w:val="none"/>
        </w:rPr>
        <w:t>）</w:t>
      </w:r>
      <w:r>
        <w:rPr>
          <w:rFonts w:hint="eastAsia" w:cs="仿宋_GB2312"/>
          <w:spacing w:val="6"/>
          <w:sz w:val="24"/>
          <w:highlight w:val="none"/>
        </w:rPr>
        <w:t>询标澄清纪要</w:t>
      </w:r>
      <w:r>
        <w:rPr>
          <w:rFonts w:hint="eastAsia" w:cs="仿宋_GB2312"/>
          <w:spacing w:val="9"/>
          <w:sz w:val="24"/>
          <w:highlight w:val="none"/>
        </w:rPr>
        <w:t>；</w:t>
      </w:r>
    </w:p>
    <w:p>
      <w:pPr>
        <w:spacing w:line="400" w:lineRule="exact"/>
        <w:ind w:firstLine="431"/>
        <w:rPr>
          <w:rFonts w:cs="仿宋_GB2312"/>
          <w:spacing w:val="8"/>
          <w:sz w:val="24"/>
          <w:highlight w:val="none"/>
        </w:rPr>
      </w:pPr>
      <w:r>
        <w:rPr>
          <w:rFonts w:hint="eastAsia" w:cs="仿宋_GB2312"/>
          <w:spacing w:val="9"/>
          <w:sz w:val="24"/>
          <w:highlight w:val="none"/>
        </w:rPr>
        <w:t>（</w:t>
      </w:r>
      <w:r>
        <w:rPr>
          <w:rFonts w:hint="eastAsia" w:cs="仿宋_GB2312"/>
          <w:spacing w:val="4"/>
          <w:sz w:val="24"/>
          <w:highlight w:val="none"/>
        </w:rPr>
        <w:t>5</w:t>
      </w:r>
      <w:r>
        <w:rPr>
          <w:rFonts w:hint="eastAsia" w:cs="仿宋_GB2312"/>
          <w:spacing w:val="10"/>
          <w:sz w:val="24"/>
          <w:highlight w:val="none"/>
        </w:rPr>
        <w:t>）</w:t>
      </w:r>
      <w:r>
        <w:rPr>
          <w:rFonts w:hint="eastAsia" w:cs="仿宋_GB2312"/>
          <w:spacing w:val="8"/>
          <w:sz w:val="24"/>
          <w:highlight w:val="none"/>
        </w:rPr>
        <w:t>中标候选人的优劣对比和存在问题（</w:t>
      </w:r>
      <w:r>
        <w:rPr>
          <w:rFonts w:hint="eastAsia" w:cs="仿宋_GB2312"/>
          <w:spacing w:val="6"/>
          <w:sz w:val="24"/>
          <w:highlight w:val="none"/>
        </w:rPr>
        <w:t>若有</w:t>
      </w:r>
      <w:r>
        <w:rPr>
          <w:rFonts w:hint="eastAsia" w:cs="仿宋_GB2312"/>
          <w:spacing w:val="8"/>
          <w:sz w:val="24"/>
          <w:highlight w:val="none"/>
        </w:rPr>
        <w:t>）；</w:t>
      </w:r>
    </w:p>
    <w:p>
      <w:pPr>
        <w:spacing w:line="400" w:lineRule="exact"/>
        <w:ind w:firstLine="431"/>
        <w:rPr>
          <w:rFonts w:cs="仿宋_GB2312"/>
          <w:spacing w:val="8"/>
          <w:sz w:val="24"/>
          <w:highlight w:val="none"/>
        </w:rPr>
      </w:pPr>
      <w:r>
        <w:rPr>
          <w:rFonts w:hint="eastAsia" w:cs="仿宋_GB2312"/>
          <w:spacing w:val="8"/>
          <w:sz w:val="24"/>
          <w:highlight w:val="none"/>
        </w:rPr>
        <w:t>（6）评标委员会成员的不同意见及理由（若有）；</w:t>
      </w:r>
    </w:p>
    <w:p>
      <w:pPr>
        <w:spacing w:line="400" w:lineRule="exact"/>
        <w:ind w:firstLine="431"/>
        <w:rPr>
          <w:rFonts w:cs="仿宋_GB2312"/>
          <w:b/>
          <w:bCs/>
          <w:sz w:val="24"/>
          <w:highlight w:val="none"/>
        </w:rPr>
      </w:pPr>
      <w:r>
        <w:rPr>
          <w:rFonts w:hint="eastAsia" w:cs="仿宋_GB2312"/>
          <w:spacing w:val="8"/>
          <w:sz w:val="24"/>
          <w:highlight w:val="none"/>
        </w:rPr>
        <w:t>（7）其他建议。</w:t>
      </w:r>
    </w:p>
    <w:p>
      <w:pPr>
        <w:rPr>
          <w:rFonts w:ascii="宋体" w:hAnsi="宋体" w:cs="宋体"/>
          <w:sz w:val="24"/>
          <w:highlight w:val="none"/>
        </w:rPr>
      </w:pPr>
    </w:p>
    <w:p>
      <w:pPr>
        <w:pStyle w:val="32"/>
        <w:ind w:firstLine="480"/>
        <w:rPr>
          <w:rFonts w:ascii="宋体" w:hAnsi="宋体" w:cs="宋体"/>
          <w:sz w:val="24"/>
          <w:highlight w:val="none"/>
        </w:rPr>
      </w:pPr>
    </w:p>
    <w:bookmarkEnd w:id="104"/>
    <w:bookmarkEnd w:id="105"/>
    <w:p>
      <w:pPr>
        <w:rPr>
          <w:rFonts w:ascii="宋体" w:hAnsi="宋体" w:eastAsia="宋体" w:cs="宋体"/>
          <w:b/>
          <w:kern w:val="44"/>
          <w:szCs w:val="44"/>
          <w:highlight w:val="none"/>
        </w:rPr>
      </w:pPr>
      <w:bookmarkStart w:id="106" w:name="_Toc12216"/>
      <w:bookmarkStart w:id="107" w:name="_Toc83886039"/>
      <w:r>
        <w:rPr>
          <w:rFonts w:hint="eastAsia" w:ascii="宋体" w:hAnsi="宋体" w:eastAsia="宋体" w:cs="宋体"/>
          <w:b/>
          <w:kern w:val="44"/>
          <w:szCs w:val="44"/>
          <w:highlight w:val="none"/>
        </w:rPr>
        <w:br w:type="page"/>
      </w:r>
    </w:p>
    <w:p>
      <w:pPr>
        <w:widowControl/>
        <w:numPr>
          <w:ilvl w:val="255"/>
          <w:numId w:val="0"/>
        </w:numPr>
        <w:spacing w:line="400" w:lineRule="exact"/>
        <w:jc w:val="center"/>
        <w:outlineLvl w:val="0"/>
        <w:rPr>
          <w:rFonts w:ascii="宋体" w:hAnsi="宋体" w:eastAsia="宋体" w:cs="宋体"/>
          <w:b/>
          <w:kern w:val="44"/>
          <w:szCs w:val="44"/>
          <w:highlight w:val="none"/>
        </w:rPr>
      </w:pPr>
      <w:r>
        <w:rPr>
          <w:rFonts w:hint="eastAsia" w:ascii="宋体" w:hAnsi="宋体" w:eastAsia="宋体" w:cs="宋体"/>
          <w:b/>
          <w:kern w:val="44"/>
          <w:szCs w:val="44"/>
          <w:highlight w:val="none"/>
        </w:rPr>
        <w:t>第五章  投标文件格式</w:t>
      </w:r>
      <w:bookmarkEnd w:id="106"/>
      <w:bookmarkEnd w:id="107"/>
    </w:p>
    <w:p>
      <w:pPr>
        <w:wordWrap w:val="0"/>
        <w:spacing w:line="400" w:lineRule="exact"/>
        <w:rPr>
          <w:rFonts w:ascii="宋体" w:hAnsi="宋体" w:eastAsia="宋体" w:cs="宋体"/>
          <w:b/>
          <w:bCs/>
          <w:sz w:val="24"/>
          <w:highlight w:val="none"/>
        </w:rPr>
      </w:pPr>
      <w:r>
        <w:rPr>
          <w:rFonts w:hint="eastAsia" w:ascii="宋体" w:hAnsi="宋体" w:eastAsia="宋体" w:cs="宋体"/>
          <w:b/>
          <w:bCs/>
          <w:sz w:val="24"/>
          <w:highlight w:val="none"/>
        </w:rPr>
        <w:t>投标文件封面格式</w:t>
      </w:r>
    </w:p>
    <w:p>
      <w:pPr>
        <w:adjustRightInd w:val="0"/>
        <w:snapToGrid w:val="0"/>
        <w:spacing w:line="400" w:lineRule="exact"/>
        <w:ind w:firstLine="480" w:firstLineChars="200"/>
        <w:jc w:val="center"/>
        <w:rPr>
          <w:rFonts w:ascii="宋体" w:hAnsi="宋体" w:eastAsia="宋体" w:cs="宋体"/>
          <w:snapToGrid w:val="0"/>
          <w:kern w:val="0"/>
          <w:sz w:val="24"/>
          <w:highlight w:val="none"/>
        </w:rPr>
      </w:pPr>
    </w:p>
    <w:p>
      <w:pPr>
        <w:adjustRightInd w:val="0"/>
        <w:snapToGrid w:val="0"/>
        <w:spacing w:line="400" w:lineRule="exact"/>
        <w:ind w:right="420"/>
        <w:jc w:val="right"/>
        <w:rPr>
          <w:rFonts w:ascii="宋体" w:hAnsi="宋体" w:eastAsia="宋体" w:cs="宋体"/>
          <w:sz w:val="24"/>
          <w:highlight w:val="none"/>
        </w:rPr>
      </w:pPr>
      <w:r>
        <w:rPr>
          <w:rFonts w:hint="eastAsia" w:ascii="宋体" w:hAnsi="宋体" w:eastAsia="宋体" w:cs="宋体"/>
          <w:sz w:val="24"/>
          <w:highlight w:val="none"/>
        </w:rPr>
        <w:t>正本/副本</w:t>
      </w:r>
    </w:p>
    <w:p>
      <w:pPr>
        <w:wordWrap w:val="0"/>
        <w:spacing w:line="400" w:lineRule="exact"/>
        <w:ind w:firstLine="1440" w:firstLineChars="600"/>
        <w:rPr>
          <w:rFonts w:ascii="宋体" w:hAnsi="宋体" w:eastAsia="宋体" w:cs="宋体"/>
          <w:sz w:val="24"/>
          <w:highlight w:val="none"/>
        </w:rPr>
      </w:pPr>
    </w:p>
    <w:p>
      <w:pPr>
        <w:wordWrap w:val="0"/>
        <w:spacing w:line="400" w:lineRule="exact"/>
        <w:ind w:firstLine="1440" w:firstLineChars="600"/>
        <w:rPr>
          <w:rFonts w:ascii="宋体" w:hAnsi="宋体" w:eastAsia="宋体" w:cs="宋体"/>
          <w:sz w:val="24"/>
          <w:highlight w:val="none"/>
        </w:rPr>
      </w:pPr>
      <w:r>
        <w:rPr>
          <w:rFonts w:hint="eastAsia" w:ascii="宋体" w:hAnsi="宋体" w:eastAsia="宋体" w:cs="宋体"/>
          <w:sz w:val="24"/>
          <w:highlight w:val="none"/>
        </w:rPr>
        <w:t>项目名称：</w:t>
      </w:r>
      <w:r>
        <w:rPr>
          <w:rFonts w:hint="eastAsia" w:ascii="宋体" w:hAnsi="宋体" w:eastAsia="宋体" w:cs="宋体"/>
          <w:sz w:val="24"/>
          <w:highlight w:val="none"/>
          <w:u w:val="single"/>
        </w:rPr>
        <w:t>2024-2026年度起重设备及抓斗维保采购项目</w:t>
      </w:r>
    </w:p>
    <w:p>
      <w:pPr>
        <w:wordWrap w:val="0"/>
        <w:spacing w:line="400" w:lineRule="exact"/>
        <w:ind w:firstLine="240" w:firstLineChars="100"/>
        <w:rPr>
          <w:rFonts w:ascii="宋体" w:hAnsi="宋体" w:eastAsia="宋体" w:cs="宋体"/>
          <w:sz w:val="24"/>
          <w:highlight w:val="none"/>
        </w:rPr>
      </w:pPr>
    </w:p>
    <w:p>
      <w:pPr>
        <w:wordWrap w:val="0"/>
        <w:spacing w:line="400" w:lineRule="exact"/>
        <w:ind w:firstLine="1440" w:firstLineChars="600"/>
        <w:rPr>
          <w:rFonts w:ascii="宋体" w:hAnsi="宋体" w:eastAsia="宋体" w:cs="宋体"/>
          <w:sz w:val="24"/>
          <w:highlight w:val="none"/>
        </w:rPr>
      </w:pPr>
      <w:r>
        <w:rPr>
          <w:rFonts w:hint="eastAsia" w:ascii="宋体" w:hAnsi="宋体" w:eastAsia="宋体" w:cs="宋体"/>
          <w:sz w:val="24"/>
          <w:highlight w:val="none"/>
        </w:rPr>
        <w:t>招标编号：</w:t>
      </w:r>
      <w:r>
        <w:rPr>
          <w:rFonts w:hint="eastAsia" w:ascii="宋体" w:hAnsi="宋体" w:eastAsia="宋体" w:cs="宋体"/>
          <w:sz w:val="24"/>
          <w:highlight w:val="none"/>
          <w:u w:val="single"/>
        </w:rPr>
        <w:t>NY-1FZB2410089</w:t>
      </w:r>
    </w:p>
    <w:p>
      <w:pPr>
        <w:adjustRightInd w:val="0"/>
        <w:snapToGrid w:val="0"/>
        <w:spacing w:line="400" w:lineRule="exact"/>
        <w:ind w:firstLine="480" w:firstLineChars="200"/>
        <w:rPr>
          <w:rFonts w:ascii="宋体" w:hAnsi="宋体" w:eastAsia="宋体" w:cs="宋体"/>
          <w:sz w:val="24"/>
          <w:highlight w:val="none"/>
        </w:rPr>
      </w:pPr>
    </w:p>
    <w:p>
      <w:pPr>
        <w:adjustRightInd w:val="0"/>
        <w:snapToGrid w:val="0"/>
        <w:spacing w:line="400" w:lineRule="exact"/>
        <w:jc w:val="center"/>
        <w:rPr>
          <w:rFonts w:ascii="宋体" w:hAnsi="宋体" w:eastAsia="宋体" w:cs="宋体"/>
          <w:sz w:val="24"/>
          <w:highlight w:val="none"/>
        </w:rPr>
      </w:pPr>
    </w:p>
    <w:p>
      <w:pPr>
        <w:adjustRightInd w:val="0"/>
        <w:snapToGrid w:val="0"/>
        <w:spacing w:line="400" w:lineRule="exact"/>
        <w:jc w:val="center"/>
        <w:rPr>
          <w:rFonts w:ascii="宋体" w:hAnsi="宋体" w:eastAsia="宋体" w:cs="宋体"/>
          <w:bCs/>
          <w:sz w:val="24"/>
          <w:highlight w:val="none"/>
        </w:rPr>
      </w:pPr>
      <w:r>
        <w:rPr>
          <w:rFonts w:hint="eastAsia" w:ascii="宋体" w:hAnsi="宋体" w:eastAsia="宋体" w:cs="宋体"/>
          <w:bCs/>
          <w:sz w:val="24"/>
          <w:highlight w:val="none"/>
        </w:rPr>
        <w:t>投 标 文 件</w:t>
      </w:r>
    </w:p>
    <w:p>
      <w:pPr>
        <w:adjustRightInd w:val="0"/>
        <w:snapToGrid w:val="0"/>
        <w:spacing w:line="400" w:lineRule="exact"/>
        <w:ind w:firstLine="480" w:firstLineChars="200"/>
        <w:rPr>
          <w:rFonts w:ascii="宋体" w:hAnsi="宋体" w:eastAsia="宋体" w:cs="宋体"/>
          <w:sz w:val="24"/>
          <w:highlight w:val="none"/>
        </w:rPr>
      </w:pPr>
    </w:p>
    <w:p>
      <w:pPr>
        <w:adjustRightInd w:val="0"/>
        <w:snapToGrid w:val="0"/>
        <w:spacing w:line="400" w:lineRule="exact"/>
        <w:ind w:firstLine="480" w:firstLineChars="200"/>
        <w:rPr>
          <w:rFonts w:ascii="宋体" w:hAnsi="宋体" w:eastAsia="宋体" w:cs="宋体"/>
          <w:sz w:val="24"/>
          <w:highlight w:val="none"/>
        </w:rPr>
      </w:pPr>
    </w:p>
    <w:p>
      <w:pPr>
        <w:adjustRightInd w:val="0"/>
        <w:snapToGrid w:val="0"/>
        <w:spacing w:line="400" w:lineRule="exact"/>
        <w:ind w:firstLine="480" w:firstLineChars="200"/>
        <w:rPr>
          <w:rFonts w:ascii="宋体" w:hAnsi="宋体" w:eastAsia="宋体" w:cs="宋体"/>
          <w:sz w:val="24"/>
          <w:highlight w:val="none"/>
        </w:rPr>
      </w:pPr>
    </w:p>
    <w:p>
      <w:pPr>
        <w:adjustRightInd w:val="0"/>
        <w:snapToGrid w:val="0"/>
        <w:spacing w:line="400" w:lineRule="exact"/>
        <w:ind w:firstLine="480" w:firstLineChars="200"/>
        <w:rPr>
          <w:rFonts w:ascii="宋体" w:hAnsi="宋体" w:eastAsia="宋体" w:cs="宋体"/>
          <w:sz w:val="24"/>
          <w:highlight w:val="none"/>
        </w:rPr>
      </w:pPr>
    </w:p>
    <w:p>
      <w:pPr>
        <w:adjustRightInd w:val="0"/>
        <w:snapToGrid w:val="0"/>
        <w:spacing w:line="400" w:lineRule="exact"/>
        <w:rPr>
          <w:rFonts w:ascii="宋体" w:hAnsi="宋体" w:eastAsia="宋体" w:cs="宋体"/>
          <w:sz w:val="24"/>
          <w:highlight w:val="none"/>
        </w:rPr>
      </w:pPr>
    </w:p>
    <w:p>
      <w:pPr>
        <w:adjustRightInd w:val="0"/>
        <w:snapToGrid w:val="0"/>
        <w:spacing w:line="400" w:lineRule="exact"/>
        <w:ind w:firstLine="480" w:firstLineChars="200"/>
        <w:jc w:val="center"/>
        <w:rPr>
          <w:rFonts w:ascii="宋体" w:hAnsi="宋体" w:eastAsia="宋体" w:cs="宋体"/>
          <w:sz w:val="24"/>
          <w:highlight w:val="none"/>
        </w:rPr>
      </w:pPr>
    </w:p>
    <w:p>
      <w:pPr>
        <w:adjustRightInd w:val="0"/>
        <w:snapToGrid w:val="0"/>
        <w:spacing w:line="400" w:lineRule="exact"/>
        <w:ind w:firstLine="480" w:firstLineChars="200"/>
        <w:jc w:val="center"/>
        <w:rPr>
          <w:rFonts w:ascii="宋体" w:hAnsi="宋体" w:eastAsia="宋体" w:cs="宋体"/>
          <w:sz w:val="24"/>
          <w:highlight w:val="none"/>
        </w:rPr>
      </w:pPr>
    </w:p>
    <w:p>
      <w:pPr>
        <w:adjustRightInd w:val="0"/>
        <w:snapToGrid w:val="0"/>
        <w:spacing w:line="400" w:lineRule="exact"/>
        <w:ind w:firstLine="480" w:firstLineChars="200"/>
        <w:jc w:val="center"/>
        <w:rPr>
          <w:rFonts w:ascii="宋体" w:hAnsi="宋体" w:eastAsia="宋体" w:cs="宋体"/>
          <w:sz w:val="24"/>
          <w:highlight w:val="none"/>
        </w:rPr>
      </w:pPr>
    </w:p>
    <w:p>
      <w:pPr>
        <w:adjustRightInd w:val="0"/>
        <w:snapToGrid w:val="0"/>
        <w:spacing w:line="400" w:lineRule="exact"/>
        <w:ind w:firstLine="1200" w:firstLineChars="500"/>
        <w:rPr>
          <w:rFonts w:ascii="宋体" w:hAnsi="宋体" w:eastAsia="宋体" w:cs="宋体"/>
          <w:snapToGrid w:val="0"/>
          <w:kern w:val="0"/>
          <w:sz w:val="24"/>
          <w:highlight w:val="none"/>
          <w:u w:val="single"/>
        </w:rPr>
      </w:pPr>
      <w:r>
        <w:rPr>
          <w:rFonts w:hint="eastAsia" w:ascii="宋体" w:hAnsi="宋体" w:eastAsia="宋体" w:cs="宋体"/>
          <w:snapToGrid w:val="0"/>
          <w:kern w:val="0"/>
          <w:sz w:val="24"/>
          <w:highlight w:val="none"/>
        </w:rPr>
        <w:t>投标人：</w:t>
      </w:r>
      <w:r>
        <w:rPr>
          <w:rFonts w:hint="eastAsia" w:ascii="宋体" w:hAnsi="宋体" w:eastAsia="宋体" w:cs="宋体"/>
          <w:snapToGrid w:val="0"/>
          <w:kern w:val="0"/>
          <w:sz w:val="24"/>
          <w:highlight w:val="none"/>
          <w:u w:val="single"/>
        </w:rPr>
        <w:t xml:space="preserve">            （盖单位公章）</w:t>
      </w:r>
    </w:p>
    <w:p>
      <w:pPr>
        <w:adjustRightInd w:val="0"/>
        <w:snapToGrid w:val="0"/>
        <w:spacing w:line="400" w:lineRule="exact"/>
        <w:ind w:firstLine="1200" w:firstLineChars="5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法定代表人（负责人）或其委托代理人：</w:t>
      </w:r>
      <w:r>
        <w:rPr>
          <w:rFonts w:hint="eastAsia" w:ascii="宋体" w:hAnsi="宋体" w:eastAsia="宋体" w:cs="宋体"/>
          <w:snapToGrid w:val="0"/>
          <w:kern w:val="0"/>
          <w:sz w:val="24"/>
          <w:highlight w:val="none"/>
          <w:u w:val="single"/>
        </w:rPr>
        <w:t xml:space="preserve">   （签字或盖章）</w:t>
      </w:r>
    </w:p>
    <w:p>
      <w:pPr>
        <w:adjustRightInd w:val="0"/>
        <w:snapToGrid w:val="0"/>
        <w:spacing w:line="400" w:lineRule="exact"/>
        <w:ind w:firstLine="1200" w:firstLineChars="500"/>
        <w:rPr>
          <w:rFonts w:ascii="宋体" w:hAnsi="宋体" w:eastAsia="宋体" w:cs="宋体"/>
          <w:snapToGrid w:val="0"/>
          <w:kern w:val="0"/>
          <w:sz w:val="24"/>
          <w:highlight w:val="none"/>
        </w:rPr>
      </w:pPr>
      <w:r>
        <w:rPr>
          <w:rFonts w:hint="eastAsia" w:ascii="宋体" w:hAnsi="宋体" w:eastAsia="宋体" w:cs="宋体"/>
          <w:snapToGrid w:val="0"/>
          <w:kern w:val="0"/>
          <w:sz w:val="24"/>
          <w:highlight w:val="none"/>
        </w:rPr>
        <w:t>日  期：年月日</w:t>
      </w:r>
    </w:p>
    <w:p>
      <w:pPr>
        <w:adjustRightInd w:val="0"/>
        <w:snapToGrid w:val="0"/>
        <w:spacing w:line="400" w:lineRule="exact"/>
        <w:jc w:val="center"/>
        <w:outlineLvl w:val="1"/>
        <w:rPr>
          <w:rFonts w:ascii="宋体" w:hAnsi="宋体" w:eastAsia="宋体" w:cs="宋体"/>
          <w:b/>
          <w:bCs/>
          <w:sz w:val="24"/>
          <w:highlight w:val="none"/>
        </w:rPr>
      </w:pPr>
      <w:r>
        <w:rPr>
          <w:rFonts w:hint="eastAsia" w:ascii="宋体" w:hAnsi="宋体" w:eastAsia="宋体" w:cs="宋体"/>
          <w:b/>
          <w:bCs/>
          <w:sz w:val="24"/>
          <w:highlight w:val="none"/>
        </w:rPr>
        <w:br w:type="page"/>
      </w:r>
      <w:bookmarkStart w:id="108" w:name="_Toc17952"/>
      <w:bookmarkStart w:id="109" w:name="_Toc83886040"/>
      <w:r>
        <w:rPr>
          <w:rFonts w:hint="eastAsia" w:ascii="宋体" w:hAnsi="宋体" w:eastAsia="宋体" w:cs="宋体"/>
          <w:b/>
          <w:bCs/>
          <w:sz w:val="24"/>
          <w:highlight w:val="none"/>
        </w:rPr>
        <w:t>资格审查索引</w:t>
      </w:r>
      <w:bookmarkEnd w:id="108"/>
      <w:bookmarkEnd w:id="109"/>
    </w:p>
    <w:tbl>
      <w:tblPr>
        <w:tblStyle w:val="25"/>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序号</w:t>
            </w:r>
          </w:p>
        </w:tc>
        <w:tc>
          <w:tcPr>
            <w:tcW w:w="5470" w:type="dxa"/>
            <w:vAlign w:val="center"/>
          </w:tcPr>
          <w:p>
            <w:pPr>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审查内容</w:t>
            </w:r>
          </w:p>
        </w:tc>
        <w:tc>
          <w:tcPr>
            <w:tcW w:w="1276" w:type="dxa"/>
            <w:vAlign w:val="center"/>
          </w:tcPr>
          <w:p>
            <w:pPr>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vAlign w:val="center"/>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bl>
    <w:p>
      <w:pPr>
        <w:spacing w:line="400" w:lineRule="exact"/>
        <w:jc w:val="left"/>
        <w:rPr>
          <w:rFonts w:ascii="宋体" w:hAnsi="宋体" w:eastAsia="宋体" w:cs="宋体"/>
          <w:sz w:val="24"/>
          <w:highlight w:val="none"/>
        </w:rPr>
      </w:pPr>
      <w:r>
        <w:rPr>
          <w:rFonts w:hint="eastAsia" w:ascii="宋体" w:hAnsi="宋体" w:eastAsia="宋体" w:cs="宋体"/>
          <w:sz w:val="24"/>
          <w:highlight w:val="none"/>
        </w:rPr>
        <w:t>注：投标人根据招标公告“</w:t>
      </w:r>
      <w:r>
        <w:rPr>
          <w:rFonts w:hint="eastAsia" w:ascii="宋体" w:hAnsi="宋体" w:eastAsia="宋体" w:cs="宋体"/>
          <w:sz w:val="24"/>
          <w:highlight w:val="none"/>
          <w:lang w:val="zh-CN"/>
        </w:rPr>
        <w:t>投标人资格条件</w:t>
      </w:r>
      <w:r>
        <w:rPr>
          <w:rFonts w:hint="eastAsia" w:ascii="宋体" w:hAnsi="宋体" w:eastAsia="宋体" w:cs="宋体"/>
          <w:sz w:val="24"/>
          <w:highlight w:val="none"/>
        </w:rPr>
        <w:t>”条款一一对应填写本表。</w:t>
      </w:r>
    </w:p>
    <w:p>
      <w:pPr>
        <w:spacing w:line="400" w:lineRule="exact"/>
        <w:jc w:val="center"/>
        <w:rPr>
          <w:rFonts w:ascii="宋体" w:hAnsi="宋体" w:eastAsia="宋体" w:cs="宋体"/>
          <w:sz w:val="24"/>
          <w:highlight w:val="none"/>
        </w:rPr>
      </w:pPr>
    </w:p>
    <w:p>
      <w:pPr>
        <w:spacing w:line="400" w:lineRule="exact"/>
        <w:jc w:val="center"/>
        <w:outlineLvl w:val="1"/>
        <w:rPr>
          <w:rFonts w:ascii="宋体" w:hAnsi="宋体" w:eastAsia="宋体" w:cs="宋体"/>
          <w:b/>
          <w:bCs/>
          <w:sz w:val="24"/>
          <w:highlight w:val="none"/>
        </w:rPr>
      </w:pPr>
      <w:bookmarkStart w:id="110" w:name="_Toc83886041"/>
      <w:bookmarkStart w:id="111" w:name="_Toc28418"/>
      <w:r>
        <w:rPr>
          <w:rFonts w:hint="eastAsia" w:ascii="宋体" w:hAnsi="宋体" w:eastAsia="宋体" w:cs="宋体"/>
          <w:b/>
          <w:bCs/>
          <w:sz w:val="24"/>
          <w:highlight w:val="none"/>
        </w:rPr>
        <w:t>符合性审查索引</w:t>
      </w:r>
      <w:bookmarkEnd w:id="110"/>
      <w:bookmarkEnd w:id="111"/>
    </w:p>
    <w:tbl>
      <w:tblPr>
        <w:tblStyle w:val="25"/>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序号</w:t>
            </w:r>
          </w:p>
        </w:tc>
        <w:tc>
          <w:tcPr>
            <w:tcW w:w="5470" w:type="dxa"/>
            <w:vAlign w:val="center"/>
          </w:tcPr>
          <w:p>
            <w:pPr>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审查内容</w:t>
            </w:r>
          </w:p>
        </w:tc>
        <w:tc>
          <w:tcPr>
            <w:tcW w:w="1276" w:type="dxa"/>
            <w:vAlign w:val="center"/>
          </w:tcPr>
          <w:p>
            <w:pPr>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vAlign w:val="center"/>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highlight w:val="none"/>
              </w:rPr>
            </w:pPr>
          </w:p>
        </w:tc>
        <w:tc>
          <w:tcPr>
            <w:tcW w:w="5470" w:type="dxa"/>
          </w:tcPr>
          <w:p>
            <w:pPr>
              <w:snapToGrid w:val="0"/>
              <w:spacing w:line="400" w:lineRule="exact"/>
              <w:jc w:val="center"/>
              <w:rPr>
                <w:rFonts w:ascii="宋体" w:hAnsi="宋体" w:eastAsia="宋体" w:cs="宋体"/>
                <w:sz w:val="24"/>
                <w:highlight w:val="none"/>
              </w:rPr>
            </w:pPr>
          </w:p>
        </w:tc>
        <w:tc>
          <w:tcPr>
            <w:tcW w:w="1276" w:type="dxa"/>
            <w:vAlign w:val="center"/>
          </w:tcPr>
          <w:p>
            <w:pPr>
              <w:snapToGrid w:val="0"/>
              <w:spacing w:line="400" w:lineRule="exact"/>
              <w:jc w:val="center"/>
              <w:rPr>
                <w:rFonts w:ascii="宋体" w:hAnsi="宋体" w:eastAsia="宋体" w:cs="宋体"/>
                <w:b/>
                <w:sz w:val="24"/>
                <w:highlight w:val="none"/>
              </w:rPr>
            </w:pPr>
          </w:p>
        </w:tc>
      </w:tr>
    </w:tbl>
    <w:p>
      <w:pPr>
        <w:spacing w:line="400" w:lineRule="exact"/>
        <w:jc w:val="left"/>
        <w:rPr>
          <w:rFonts w:ascii="宋体" w:hAnsi="宋体" w:eastAsia="宋体" w:cs="宋体"/>
          <w:sz w:val="24"/>
          <w:highlight w:val="none"/>
        </w:rPr>
      </w:pPr>
      <w:r>
        <w:rPr>
          <w:rFonts w:hint="eastAsia" w:ascii="宋体" w:hAnsi="宋体" w:eastAsia="宋体" w:cs="宋体"/>
          <w:sz w:val="24"/>
          <w:highlight w:val="none"/>
        </w:rPr>
        <w:t>注：投标人根据评标方法和评价标准的“初步评审”中“符合性审查”条款一一对应填写本表。</w:t>
      </w:r>
    </w:p>
    <w:p>
      <w:pPr>
        <w:spacing w:line="400" w:lineRule="exact"/>
        <w:jc w:val="center"/>
        <w:outlineLvl w:val="1"/>
        <w:rPr>
          <w:rFonts w:ascii="宋体" w:hAnsi="宋体" w:eastAsia="宋体" w:cs="宋体"/>
          <w:b/>
          <w:bCs/>
          <w:sz w:val="24"/>
          <w:highlight w:val="none"/>
        </w:rPr>
      </w:pPr>
      <w:bookmarkStart w:id="112" w:name="_Toc83886042"/>
      <w:bookmarkStart w:id="113" w:name="_Toc20861"/>
      <w:r>
        <w:rPr>
          <w:rFonts w:hint="eastAsia" w:ascii="宋体" w:hAnsi="宋体" w:eastAsia="宋体" w:cs="宋体"/>
          <w:b/>
          <w:bCs/>
          <w:sz w:val="24"/>
          <w:highlight w:val="none"/>
        </w:rPr>
        <w:t>详细评审索引</w:t>
      </w:r>
      <w:bookmarkEnd w:id="112"/>
      <w:bookmarkEnd w:id="113"/>
    </w:p>
    <w:tbl>
      <w:tblPr>
        <w:tblStyle w:val="25"/>
        <w:tblW w:w="750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356"/>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序号</w:t>
            </w:r>
          </w:p>
        </w:tc>
        <w:tc>
          <w:tcPr>
            <w:tcW w:w="5356" w:type="dxa"/>
            <w:vAlign w:val="center"/>
          </w:tcPr>
          <w:p>
            <w:pPr>
              <w:adjustRightInd w:val="0"/>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评分/评审细则</w:t>
            </w:r>
          </w:p>
        </w:tc>
        <w:tc>
          <w:tcPr>
            <w:tcW w:w="1276" w:type="dxa"/>
            <w:vAlign w:val="center"/>
          </w:tcPr>
          <w:p>
            <w:pPr>
              <w:adjustRightInd w:val="0"/>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highlight w:val="none"/>
              </w:rPr>
            </w:pPr>
          </w:p>
        </w:tc>
        <w:tc>
          <w:tcPr>
            <w:tcW w:w="5356" w:type="dxa"/>
            <w:vAlign w:val="center"/>
          </w:tcPr>
          <w:p>
            <w:pPr>
              <w:adjustRightInd w:val="0"/>
              <w:snapToGrid w:val="0"/>
              <w:spacing w:line="400" w:lineRule="exact"/>
              <w:rPr>
                <w:rFonts w:ascii="宋体" w:hAnsi="宋体" w:eastAsia="宋体" w:cs="宋体"/>
                <w:sz w:val="24"/>
                <w:highlight w:val="none"/>
              </w:rPr>
            </w:pPr>
          </w:p>
        </w:tc>
        <w:tc>
          <w:tcPr>
            <w:tcW w:w="1276" w:type="dxa"/>
            <w:vAlign w:val="center"/>
          </w:tcPr>
          <w:p>
            <w:pPr>
              <w:adjustRightInd w:val="0"/>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4" w:type="dxa"/>
            <w:vAlign w:val="center"/>
          </w:tcPr>
          <w:p>
            <w:pPr>
              <w:adjustRightInd w:val="0"/>
              <w:snapToGrid w:val="0"/>
              <w:spacing w:line="400" w:lineRule="exact"/>
              <w:jc w:val="center"/>
              <w:rPr>
                <w:rFonts w:ascii="宋体" w:hAnsi="宋体" w:eastAsia="宋体" w:cs="宋体"/>
                <w:sz w:val="24"/>
                <w:highlight w:val="none"/>
              </w:rPr>
            </w:pPr>
          </w:p>
        </w:tc>
        <w:tc>
          <w:tcPr>
            <w:tcW w:w="5356" w:type="dxa"/>
            <w:vAlign w:val="center"/>
          </w:tcPr>
          <w:p>
            <w:pPr>
              <w:adjustRightInd w:val="0"/>
              <w:snapToGrid w:val="0"/>
              <w:spacing w:line="400" w:lineRule="exact"/>
              <w:rPr>
                <w:rFonts w:ascii="宋体" w:hAnsi="宋体" w:eastAsia="宋体" w:cs="宋体"/>
                <w:sz w:val="24"/>
                <w:highlight w:val="none"/>
              </w:rPr>
            </w:pPr>
          </w:p>
        </w:tc>
        <w:tc>
          <w:tcPr>
            <w:tcW w:w="1276" w:type="dxa"/>
            <w:vAlign w:val="center"/>
          </w:tcPr>
          <w:p>
            <w:pPr>
              <w:adjustRightInd w:val="0"/>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highlight w:val="none"/>
              </w:rPr>
            </w:pPr>
          </w:p>
        </w:tc>
        <w:tc>
          <w:tcPr>
            <w:tcW w:w="5356" w:type="dxa"/>
            <w:vAlign w:val="center"/>
          </w:tcPr>
          <w:p>
            <w:pPr>
              <w:adjustRightInd w:val="0"/>
              <w:snapToGrid w:val="0"/>
              <w:spacing w:line="400" w:lineRule="exact"/>
              <w:rPr>
                <w:rFonts w:ascii="宋体" w:hAnsi="宋体" w:eastAsia="宋体" w:cs="宋体"/>
                <w:sz w:val="24"/>
                <w:highlight w:val="none"/>
              </w:rPr>
            </w:pPr>
          </w:p>
        </w:tc>
        <w:tc>
          <w:tcPr>
            <w:tcW w:w="1276" w:type="dxa"/>
            <w:vAlign w:val="center"/>
          </w:tcPr>
          <w:p>
            <w:pPr>
              <w:adjustRightInd w:val="0"/>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highlight w:val="none"/>
              </w:rPr>
            </w:pPr>
          </w:p>
        </w:tc>
        <w:tc>
          <w:tcPr>
            <w:tcW w:w="5356" w:type="dxa"/>
            <w:vAlign w:val="center"/>
          </w:tcPr>
          <w:p>
            <w:pPr>
              <w:adjustRightInd w:val="0"/>
              <w:snapToGrid w:val="0"/>
              <w:spacing w:line="400" w:lineRule="exact"/>
              <w:rPr>
                <w:rFonts w:ascii="宋体" w:hAnsi="宋体" w:eastAsia="宋体" w:cs="宋体"/>
                <w:sz w:val="24"/>
                <w:highlight w:val="none"/>
              </w:rPr>
            </w:pPr>
          </w:p>
        </w:tc>
        <w:tc>
          <w:tcPr>
            <w:tcW w:w="1276" w:type="dxa"/>
            <w:vAlign w:val="center"/>
          </w:tcPr>
          <w:p>
            <w:pPr>
              <w:adjustRightInd w:val="0"/>
              <w:snapToGrid w:val="0"/>
              <w:spacing w:line="400" w:lineRule="exact"/>
              <w:jc w:val="center"/>
              <w:rPr>
                <w:rFonts w:ascii="宋体" w:hAnsi="宋体" w:eastAsia="宋体" w:cs="宋体"/>
                <w:b/>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highlight w:val="none"/>
              </w:rPr>
            </w:pPr>
          </w:p>
        </w:tc>
        <w:tc>
          <w:tcPr>
            <w:tcW w:w="5356" w:type="dxa"/>
            <w:vAlign w:val="center"/>
          </w:tcPr>
          <w:p>
            <w:pPr>
              <w:adjustRightInd w:val="0"/>
              <w:snapToGrid w:val="0"/>
              <w:spacing w:line="400" w:lineRule="exact"/>
              <w:ind w:left="-3" w:leftChars="-1" w:firstLine="2"/>
              <w:rPr>
                <w:rFonts w:ascii="宋体" w:hAnsi="宋体" w:eastAsia="宋体" w:cs="宋体"/>
                <w:b/>
                <w:sz w:val="24"/>
                <w:highlight w:val="none"/>
              </w:rPr>
            </w:pPr>
          </w:p>
        </w:tc>
        <w:tc>
          <w:tcPr>
            <w:tcW w:w="1276" w:type="dxa"/>
            <w:vAlign w:val="center"/>
          </w:tcPr>
          <w:p>
            <w:pPr>
              <w:adjustRightInd w:val="0"/>
              <w:snapToGrid w:val="0"/>
              <w:spacing w:line="400" w:lineRule="exact"/>
              <w:jc w:val="center"/>
              <w:rPr>
                <w:rFonts w:ascii="宋体" w:hAnsi="宋体" w:eastAsia="宋体" w:cs="宋体"/>
                <w:b/>
                <w:sz w:val="24"/>
                <w:highlight w:val="none"/>
              </w:rPr>
            </w:pPr>
          </w:p>
        </w:tc>
      </w:tr>
    </w:tbl>
    <w:p>
      <w:pPr>
        <w:spacing w:line="400" w:lineRule="exact"/>
        <w:rPr>
          <w:rFonts w:ascii="宋体" w:hAnsi="宋体" w:eastAsia="宋体" w:cs="宋体"/>
          <w:sz w:val="24"/>
          <w:highlight w:val="none"/>
        </w:rPr>
      </w:pPr>
      <w:r>
        <w:rPr>
          <w:rFonts w:hint="eastAsia" w:ascii="宋体" w:hAnsi="宋体" w:eastAsia="宋体" w:cs="宋体"/>
          <w:sz w:val="24"/>
          <w:highlight w:val="none"/>
        </w:rPr>
        <w:t>注：投标人根据评标方法及评价标准的“详细评审”条款一一对应填写本表。</w:t>
      </w:r>
    </w:p>
    <w:p>
      <w:pPr>
        <w:pStyle w:val="8"/>
        <w:spacing w:line="400" w:lineRule="exact"/>
        <w:rPr>
          <w:rFonts w:ascii="宋体" w:hAnsi="宋体" w:cs="宋体"/>
          <w:sz w:val="24"/>
          <w:szCs w:val="24"/>
          <w:highlight w:val="none"/>
        </w:rPr>
      </w:pPr>
    </w:p>
    <w:p>
      <w:pPr>
        <w:pStyle w:val="8"/>
        <w:spacing w:line="400" w:lineRule="exact"/>
        <w:rPr>
          <w:rFonts w:ascii="宋体" w:hAnsi="宋体" w:cs="宋体"/>
          <w:sz w:val="24"/>
          <w:szCs w:val="24"/>
          <w:highlight w:val="none"/>
        </w:rPr>
      </w:pPr>
    </w:p>
    <w:p>
      <w:pPr>
        <w:spacing w:line="400" w:lineRule="exact"/>
        <w:rPr>
          <w:rFonts w:ascii="宋体" w:hAnsi="宋体" w:eastAsia="宋体" w:cs="宋体"/>
          <w:b/>
          <w:sz w:val="24"/>
          <w:highlight w:val="none"/>
        </w:rPr>
      </w:pPr>
      <w:bookmarkStart w:id="114" w:name="_Toc83886043"/>
    </w:p>
    <w:p>
      <w:pPr>
        <w:wordWrap w:val="0"/>
        <w:spacing w:line="400" w:lineRule="exact"/>
        <w:jc w:val="center"/>
        <w:rPr>
          <w:rFonts w:ascii="宋体" w:hAnsi="宋体" w:eastAsia="宋体" w:cs="宋体"/>
          <w:b/>
          <w:szCs w:val="32"/>
          <w:highlight w:val="none"/>
        </w:rPr>
      </w:pPr>
      <w:r>
        <w:rPr>
          <w:rFonts w:hint="eastAsia" w:ascii="宋体" w:hAnsi="宋体" w:eastAsia="宋体" w:cs="宋体"/>
          <w:b/>
          <w:szCs w:val="32"/>
          <w:highlight w:val="none"/>
        </w:rPr>
        <w:t>目录</w:t>
      </w:r>
    </w:p>
    <w:p>
      <w:pPr>
        <w:wordWrap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资格审查文件部分</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1.营业执照（或者事业单位法人证书）副本复印件…………………………（页码）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2.投标保证金缴存证明…………………………………………………………（页码）</w:t>
      </w:r>
    </w:p>
    <w:p>
      <w:pPr>
        <w:spacing w:line="400" w:lineRule="exact"/>
        <w:rPr>
          <w:rFonts w:ascii="宋体" w:hAnsi="宋体" w:eastAsia="宋体" w:cs="宋体"/>
          <w:sz w:val="24"/>
          <w:highlight w:val="none"/>
        </w:rPr>
      </w:pPr>
      <w:r>
        <w:rPr>
          <w:rFonts w:hint="eastAsia" w:ascii="宋体" w:hAnsi="宋体" w:eastAsia="宋体" w:cs="宋体"/>
          <w:sz w:val="24"/>
          <w:highlight w:val="none"/>
        </w:rPr>
        <w:t>3.信用中国、中国政府采购网、国家企业信用信息公示系统记录查询网页截图……（页码）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4.其他资格条件证明材料（复印件加盖公章）………………………………（页码）</w:t>
      </w:r>
    </w:p>
    <w:p>
      <w:pPr>
        <w:pStyle w:val="2"/>
        <w:rPr>
          <w:highlight w:val="none"/>
        </w:rPr>
      </w:pPr>
      <w:r>
        <w:rPr>
          <w:rFonts w:hint="eastAsia"/>
          <w:highlight w:val="none"/>
        </w:rPr>
        <w:t>5.安全服务承诺函</w:t>
      </w:r>
      <w:r>
        <w:rPr>
          <w:rFonts w:hint="eastAsia" w:ascii="宋体" w:hAnsi="宋体" w:cs="宋体"/>
          <w:sz w:val="24"/>
          <w:highlight w:val="none"/>
        </w:rPr>
        <w:t>……………………………………………………………………（页码）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5.投标声明书……………………………………………………………………（页码）</w:t>
      </w:r>
    </w:p>
    <w:p>
      <w:pPr>
        <w:wordWrap w:val="0"/>
        <w:spacing w:line="400" w:lineRule="exact"/>
        <w:jc w:val="center"/>
        <w:outlineLvl w:val="1"/>
        <w:rPr>
          <w:rFonts w:ascii="宋体" w:hAnsi="宋体" w:eastAsia="宋体" w:cs="宋体"/>
          <w:b/>
          <w:sz w:val="24"/>
          <w:highlight w:val="none"/>
        </w:rPr>
      </w:pPr>
      <w:r>
        <w:rPr>
          <w:rFonts w:hint="eastAsia" w:ascii="宋体" w:hAnsi="宋体" w:eastAsia="宋体" w:cs="宋体"/>
          <w:b/>
          <w:sz w:val="24"/>
          <w:highlight w:val="none"/>
        </w:rPr>
        <w:t>商务文件部分</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1.投标函…………………………………………………………………………（页码）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2.投标报价明细表………………………………………………………………（页码）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3.法定代表人授权书（格式见附件）…………………………………………（页码）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4.联合体协议书（若有）………………………………………………………（页码）</w:t>
      </w:r>
    </w:p>
    <w:p>
      <w:pPr>
        <w:wordWrap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5.商务偏离表（格式见附件）…………………………………………………（页码）</w:t>
      </w:r>
    </w:p>
    <w:p>
      <w:pPr>
        <w:adjustRightInd w:val="0"/>
        <w:snapToGrid w:val="0"/>
        <w:spacing w:line="400" w:lineRule="exact"/>
        <w:rPr>
          <w:rFonts w:ascii="宋体" w:hAnsi="宋体" w:eastAsia="宋体" w:cs="宋体"/>
          <w:b/>
          <w:bCs/>
          <w:sz w:val="24"/>
          <w:highlight w:val="none"/>
        </w:rPr>
      </w:pPr>
      <w:r>
        <w:rPr>
          <w:rFonts w:hint="eastAsia" w:ascii="宋体" w:hAnsi="宋体" w:eastAsia="宋体" w:cs="宋体"/>
          <w:sz w:val="24"/>
          <w:highlight w:val="none"/>
        </w:rPr>
        <w:t>6.优惠条件及特殊承诺…………………………………………………………（页码）</w:t>
      </w:r>
    </w:p>
    <w:p>
      <w:pPr>
        <w:wordWrap w:val="0"/>
        <w:spacing w:line="400" w:lineRule="exact"/>
        <w:jc w:val="center"/>
        <w:outlineLvl w:val="1"/>
        <w:rPr>
          <w:rFonts w:ascii="宋体" w:hAnsi="宋体" w:eastAsia="宋体" w:cs="宋体"/>
          <w:b/>
          <w:sz w:val="24"/>
          <w:highlight w:val="none"/>
        </w:rPr>
      </w:pPr>
    </w:p>
    <w:p>
      <w:pPr>
        <w:wordWrap w:val="0"/>
        <w:spacing w:line="400" w:lineRule="exact"/>
        <w:jc w:val="center"/>
        <w:outlineLvl w:val="1"/>
        <w:rPr>
          <w:rFonts w:ascii="宋体" w:hAnsi="宋体" w:eastAsia="宋体" w:cs="宋体"/>
          <w:b/>
          <w:bCs/>
          <w:sz w:val="24"/>
          <w:highlight w:val="none"/>
        </w:rPr>
      </w:pPr>
      <w:r>
        <w:rPr>
          <w:rFonts w:hint="eastAsia" w:ascii="宋体" w:hAnsi="宋体" w:eastAsia="宋体" w:cs="宋体"/>
          <w:b/>
          <w:sz w:val="24"/>
          <w:highlight w:val="none"/>
        </w:rPr>
        <w:t>资信文件部分</w:t>
      </w:r>
    </w:p>
    <w:p>
      <w:pPr>
        <w:wordWrap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1.投标人基本情况表……………………………………………………………（页码）</w:t>
      </w:r>
    </w:p>
    <w:p>
      <w:pPr>
        <w:wordWrap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2.企业类似项目业绩一览表……………………………………………………（页码）</w:t>
      </w:r>
    </w:p>
    <w:p>
      <w:pPr>
        <w:wordWrap w:val="0"/>
        <w:spacing w:line="400" w:lineRule="exact"/>
        <w:rPr>
          <w:rFonts w:ascii="宋体" w:hAnsi="宋体" w:eastAsia="宋体" w:cs="宋体"/>
          <w:sz w:val="24"/>
          <w:highlight w:val="none"/>
        </w:rPr>
      </w:pPr>
      <w:r>
        <w:rPr>
          <w:rFonts w:hint="eastAsia" w:ascii="宋体" w:hAnsi="宋体" w:eastAsia="宋体" w:cs="宋体"/>
          <w:sz w:val="24"/>
          <w:highlight w:val="none"/>
        </w:rPr>
        <w:t>3.诚信廉洁承诺函………………………………………………………………（页码）</w:t>
      </w:r>
    </w:p>
    <w:p>
      <w:pPr>
        <w:wordWrap w:val="0"/>
        <w:spacing w:line="400" w:lineRule="exact"/>
        <w:rPr>
          <w:rFonts w:ascii="宋体" w:hAnsi="宋体" w:eastAsia="宋体" w:cs="宋体"/>
          <w:sz w:val="24"/>
          <w:highlight w:val="none"/>
        </w:rPr>
      </w:pPr>
      <w:r>
        <w:rPr>
          <w:rFonts w:hint="eastAsia" w:ascii="宋体" w:hAnsi="宋体" w:eastAsia="宋体" w:cs="宋体"/>
          <w:sz w:val="24"/>
          <w:highlight w:val="none"/>
        </w:rPr>
        <w:t>4.投标人认为有必要的其他内容等……………………………………………（页码）</w:t>
      </w:r>
    </w:p>
    <w:p>
      <w:pPr>
        <w:numPr>
          <w:ilvl w:val="255"/>
          <w:numId w:val="0"/>
        </w:numPr>
        <w:wordWrap w:val="0"/>
        <w:adjustRightInd w:val="0"/>
        <w:snapToGrid w:val="0"/>
        <w:spacing w:line="400" w:lineRule="exact"/>
        <w:jc w:val="center"/>
        <w:rPr>
          <w:rFonts w:ascii="宋体" w:hAnsi="宋体" w:eastAsia="宋体" w:cs="宋体"/>
          <w:b/>
          <w:sz w:val="24"/>
          <w:highlight w:val="none"/>
        </w:rPr>
      </w:pPr>
      <w:r>
        <w:rPr>
          <w:rFonts w:hint="eastAsia" w:ascii="宋体" w:hAnsi="宋体" w:eastAsia="宋体" w:cs="宋体"/>
          <w:b/>
          <w:sz w:val="24"/>
          <w:highlight w:val="none"/>
        </w:rPr>
        <w:t>技术文件部分</w:t>
      </w:r>
    </w:p>
    <w:p>
      <w:pPr>
        <w:numPr>
          <w:ilvl w:val="255"/>
          <w:numId w:val="0"/>
        </w:numPr>
        <w:wordWrap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1.技术与服务解决方案…………………………………………………………（页码）</w:t>
      </w:r>
    </w:p>
    <w:p>
      <w:pPr>
        <w:numPr>
          <w:ilvl w:val="255"/>
          <w:numId w:val="0"/>
        </w:numPr>
        <w:wordWrap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2.</w:t>
      </w:r>
      <w:r>
        <w:rPr>
          <w:rFonts w:hint="eastAsia" w:ascii="宋体" w:hAnsi="宋体" w:eastAsia="宋体" w:cs="宋体"/>
          <w:bCs/>
          <w:sz w:val="24"/>
          <w:highlight w:val="none"/>
        </w:rPr>
        <w:t>技术偏离表</w:t>
      </w:r>
      <w:r>
        <w:rPr>
          <w:rFonts w:hint="eastAsia" w:ascii="宋体" w:hAnsi="宋体" w:eastAsia="宋体" w:cs="宋体"/>
          <w:sz w:val="24"/>
          <w:highlight w:val="none"/>
        </w:rPr>
        <w:t>……………………………………………………………………（页码）</w:t>
      </w:r>
    </w:p>
    <w:p>
      <w:pPr>
        <w:numPr>
          <w:ilvl w:val="255"/>
          <w:numId w:val="0"/>
        </w:numPr>
        <w:wordWrap w:val="0"/>
        <w:adjustRightInd w:val="0"/>
        <w:snapToGrid w:val="0"/>
        <w:spacing w:line="400" w:lineRule="exact"/>
        <w:rPr>
          <w:rFonts w:ascii="宋体" w:hAnsi="宋体" w:eastAsia="宋体" w:cs="宋体"/>
          <w:sz w:val="24"/>
          <w:highlight w:val="none"/>
        </w:rPr>
      </w:pPr>
      <w:r>
        <w:rPr>
          <w:rFonts w:hint="eastAsia" w:ascii="宋体" w:hAnsi="宋体" w:eastAsia="宋体" w:cs="宋体"/>
          <w:sz w:val="24"/>
          <w:highlight w:val="none"/>
        </w:rPr>
        <w:t>3.技术优惠条件及特殊承诺……………………………………………………（页码）</w:t>
      </w:r>
    </w:p>
    <w:p>
      <w:pPr>
        <w:numPr>
          <w:ilvl w:val="255"/>
          <w:numId w:val="0"/>
        </w:numPr>
        <w:wordWrap w:val="0"/>
        <w:adjustRightInd w:val="0"/>
        <w:snapToGrid w:val="0"/>
        <w:spacing w:line="400" w:lineRule="exact"/>
        <w:rPr>
          <w:rFonts w:ascii="宋体" w:hAnsi="宋体" w:eastAsia="宋体" w:cs="宋体"/>
          <w:b/>
          <w:bCs/>
          <w:sz w:val="28"/>
          <w:szCs w:val="28"/>
          <w:highlight w:val="none"/>
        </w:rPr>
      </w:pPr>
      <w:r>
        <w:rPr>
          <w:rFonts w:hint="eastAsia" w:ascii="宋体" w:hAnsi="宋体" w:eastAsia="宋体" w:cs="宋体"/>
          <w:sz w:val="24"/>
          <w:highlight w:val="none"/>
        </w:rPr>
        <w:t>4.投标人认为需要提供的其他文件和说明……………………………………（页码）</w:t>
      </w:r>
    </w:p>
    <w:p>
      <w:pPr>
        <w:spacing w:line="400" w:lineRule="exact"/>
        <w:rPr>
          <w:rFonts w:ascii="宋体" w:hAnsi="宋体" w:eastAsia="宋体" w:cs="宋体"/>
          <w:b/>
          <w:bCs/>
          <w:sz w:val="28"/>
          <w:szCs w:val="28"/>
          <w:highlight w:val="none"/>
        </w:rPr>
      </w:pPr>
    </w:p>
    <w:p>
      <w:pPr>
        <w:spacing w:line="400" w:lineRule="exact"/>
        <w:rPr>
          <w:rFonts w:ascii="宋体" w:hAnsi="宋体" w:eastAsia="宋体" w:cs="宋体"/>
          <w:b/>
          <w:bCs/>
          <w:sz w:val="28"/>
          <w:szCs w:val="28"/>
          <w:highlight w:val="none"/>
        </w:rPr>
      </w:pPr>
    </w:p>
    <w:p>
      <w:pPr>
        <w:spacing w:line="400" w:lineRule="exact"/>
        <w:rPr>
          <w:rFonts w:ascii="宋体" w:hAnsi="宋体" w:eastAsia="宋体" w:cs="宋体"/>
          <w:highlight w:val="none"/>
        </w:rPr>
      </w:pPr>
    </w:p>
    <w:p>
      <w:pPr>
        <w:spacing w:line="400" w:lineRule="exact"/>
        <w:rPr>
          <w:rFonts w:ascii="宋体" w:hAnsi="宋体" w:eastAsia="宋体" w:cs="宋体"/>
          <w:highlight w:val="none"/>
        </w:rPr>
      </w:pPr>
    </w:p>
    <w:p>
      <w:pPr>
        <w:spacing w:line="400" w:lineRule="exact"/>
        <w:rPr>
          <w:rFonts w:ascii="宋体" w:hAnsi="宋体" w:eastAsia="宋体" w:cs="宋体"/>
          <w:highlight w:val="none"/>
        </w:rPr>
      </w:pPr>
    </w:p>
    <w:p>
      <w:pPr>
        <w:adjustRightInd w:val="0"/>
        <w:snapToGrid w:val="0"/>
        <w:spacing w:line="400" w:lineRule="exact"/>
        <w:jc w:val="center"/>
        <w:outlineLvl w:val="1"/>
        <w:rPr>
          <w:rFonts w:ascii="宋体" w:hAnsi="宋体" w:eastAsia="宋体" w:cs="宋体"/>
          <w:snapToGrid w:val="0"/>
          <w:kern w:val="0"/>
          <w:szCs w:val="21"/>
          <w:highlight w:val="none"/>
        </w:rPr>
      </w:pPr>
      <w:r>
        <w:rPr>
          <w:rFonts w:hint="eastAsia" w:ascii="宋体" w:hAnsi="宋体" w:eastAsia="宋体" w:cs="宋体"/>
          <w:b/>
          <w:bCs/>
          <w:sz w:val="28"/>
          <w:szCs w:val="28"/>
          <w:highlight w:val="none"/>
        </w:rPr>
        <w:t>第一部分、资格文件</w:t>
      </w:r>
      <w:bookmarkEnd w:id="114"/>
    </w:p>
    <w:p>
      <w:pPr>
        <w:spacing w:line="400" w:lineRule="exact"/>
        <w:rPr>
          <w:rFonts w:ascii="宋体" w:hAnsi="宋体" w:eastAsia="宋体" w:cs="宋体"/>
          <w:b/>
          <w:bCs/>
          <w:sz w:val="28"/>
          <w:szCs w:val="28"/>
          <w:highlight w:val="none"/>
        </w:rPr>
      </w:pPr>
      <w:r>
        <w:rPr>
          <w:rFonts w:hint="eastAsia" w:ascii="宋体" w:hAnsi="宋体" w:eastAsia="宋体" w:cs="宋体"/>
          <w:sz w:val="24"/>
          <w:highlight w:val="none"/>
        </w:rPr>
        <w:t>一</w:t>
      </w:r>
      <w:r>
        <w:rPr>
          <w:rFonts w:hint="eastAsia" w:ascii="宋体" w:hAnsi="宋体" w:eastAsia="宋体" w:cs="宋体"/>
          <w:b/>
          <w:bCs/>
          <w:sz w:val="28"/>
          <w:szCs w:val="28"/>
          <w:highlight w:val="none"/>
        </w:rPr>
        <w:t>、营业执照、事业单位法人证书、社会团体法人登记证书或其他组织登记证明文件副本（复印件加盖公章）</w:t>
      </w:r>
    </w:p>
    <w:p>
      <w:pPr>
        <w:spacing w:line="400" w:lineRule="exact"/>
        <w:rPr>
          <w:rFonts w:ascii="宋体" w:hAnsi="宋体" w:eastAsia="宋体" w:cs="宋体"/>
          <w:b/>
          <w:bCs/>
          <w:sz w:val="28"/>
          <w:szCs w:val="28"/>
          <w:highlight w:val="none"/>
        </w:rPr>
      </w:pPr>
    </w:p>
    <w:p>
      <w:pPr>
        <w:spacing w:line="400" w:lineRule="exact"/>
        <w:rPr>
          <w:b/>
          <w:bCs/>
          <w:sz w:val="36"/>
          <w:szCs w:val="28"/>
          <w:highlight w:val="none"/>
        </w:rPr>
      </w:pPr>
    </w:p>
    <w:p>
      <w:pPr>
        <w:spacing w:line="400" w:lineRule="exact"/>
        <w:ind w:firstLine="562" w:firstLineChars="200"/>
        <w:rPr>
          <w:rFonts w:ascii="宋体" w:hAnsi="宋体" w:eastAsia="宋体" w:cs="宋体"/>
          <w:b/>
          <w:bCs/>
          <w:sz w:val="28"/>
          <w:szCs w:val="28"/>
          <w:highlight w:val="none"/>
        </w:rPr>
      </w:pPr>
      <w:r>
        <w:rPr>
          <w:rFonts w:hint="eastAsia" w:ascii="宋体" w:hAnsi="宋体" w:eastAsia="宋体" w:cs="宋体"/>
          <w:b/>
          <w:bCs/>
          <w:sz w:val="28"/>
          <w:szCs w:val="28"/>
          <w:highlight w:val="none"/>
        </w:rPr>
        <w:t>二、投标保证金缴存证明</w:t>
      </w:r>
    </w:p>
    <w:p>
      <w:pPr>
        <w:spacing w:line="400" w:lineRule="exact"/>
        <w:jc w:val="left"/>
        <w:rPr>
          <w:rFonts w:ascii="宋体" w:hAnsi="宋体" w:eastAsia="宋体" w:cs="宋体"/>
          <w:b/>
          <w:bCs/>
          <w:sz w:val="28"/>
          <w:szCs w:val="28"/>
          <w:highlight w:val="none"/>
        </w:rPr>
      </w:pPr>
      <w:r>
        <w:rPr>
          <w:rFonts w:hint="eastAsia" w:ascii="宋体" w:hAnsi="宋体" w:eastAsia="宋体" w:cs="宋体"/>
          <w:b/>
          <w:bCs/>
          <w:sz w:val="28"/>
          <w:szCs w:val="28"/>
          <w:highlight w:val="none"/>
        </w:rPr>
        <w:t>（附投标保证金缴存复印件）</w:t>
      </w:r>
    </w:p>
    <w:p>
      <w:pPr>
        <w:spacing w:line="400" w:lineRule="exact"/>
        <w:rPr>
          <w:rFonts w:ascii="宋体" w:hAnsi="宋体" w:eastAsia="宋体" w:cs="宋体"/>
          <w:b/>
          <w:bCs/>
          <w:sz w:val="28"/>
          <w:szCs w:val="28"/>
          <w:highlight w:val="none"/>
        </w:rPr>
      </w:pPr>
    </w:p>
    <w:p>
      <w:pPr>
        <w:spacing w:line="400" w:lineRule="exact"/>
        <w:ind w:firstLine="562" w:firstLineChars="200"/>
        <w:rPr>
          <w:rFonts w:ascii="宋体" w:hAnsi="宋体" w:eastAsia="宋体" w:cs="宋体"/>
          <w:b/>
          <w:bCs/>
          <w:sz w:val="28"/>
          <w:szCs w:val="28"/>
          <w:highlight w:val="none"/>
        </w:rPr>
      </w:pPr>
    </w:p>
    <w:p>
      <w:pPr>
        <w:spacing w:line="400" w:lineRule="exact"/>
        <w:rPr>
          <w:rFonts w:ascii="宋体" w:hAnsi="宋体" w:eastAsia="宋体" w:cs="宋体"/>
          <w:b/>
          <w:bCs/>
          <w:sz w:val="28"/>
          <w:szCs w:val="28"/>
          <w:highlight w:val="none"/>
        </w:rPr>
      </w:pPr>
    </w:p>
    <w:p>
      <w:pPr>
        <w:spacing w:line="400" w:lineRule="exact"/>
        <w:ind w:firstLine="562" w:firstLineChars="200"/>
        <w:rPr>
          <w:rFonts w:ascii="宋体" w:hAnsi="宋体" w:eastAsia="宋体" w:cs="宋体"/>
          <w:b/>
          <w:bCs/>
          <w:sz w:val="28"/>
          <w:szCs w:val="28"/>
          <w:highlight w:val="none"/>
        </w:rPr>
      </w:pPr>
    </w:p>
    <w:p>
      <w:pPr>
        <w:spacing w:line="400" w:lineRule="exact"/>
        <w:ind w:firstLine="562" w:firstLineChars="200"/>
        <w:rPr>
          <w:rFonts w:ascii="宋体" w:hAnsi="宋体" w:eastAsia="宋体" w:cs="宋体"/>
          <w:b/>
          <w:bCs/>
          <w:sz w:val="28"/>
          <w:szCs w:val="28"/>
          <w:highlight w:val="none"/>
        </w:rPr>
      </w:pPr>
      <w:r>
        <w:rPr>
          <w:rFonts w:hint="eastAsia" w:ascii="宋体" w:hAnsi="宋体" w:eastAsia="宋体" w:cs="宋体"/>
          <w:b/>
          <w:bCs/>
          <w:sz w:val="28"/>
          <w:szCs w:val="28"/>
          <w:highlight w:val="none"/>
        </w:rPr>
        <w:t>三、需提供本项目招标公告</w:t>
      </w:r>
      <w:r>
        <w:rPr>
          <w:rFonts w:hint="eastAsia" w:ascii="宋体" w:hAnsi="宋体" w:eastAsia="宋体" w:cs="宋体"/>
          <w:b/>
          <w:bCs/>
          <w:sz w:val="28"/>
          <w:szCs w:val="28"/>
          <w:highlight w:val="none"/>
          <w:u w:val="single"/>
        </w:rPr>
        <w:t>发布之日</w:t>
      </w:r>
      <w:r>
        <w:rPr>
          <w:rFonts w:hint="eastAsia" w:ascii="宋体" w:hAnsi="宋体" w:eastAsia="宋体" w:cs="宋体"/>
          <w:b/>
          <w:bCs/>
          <w:sz w:val="28"/>
          <w:szCs w:val="28"/>
          <w:highlight w:val="none"/>
        </w:rPr>
        <w:t>起“信用中国”（www.creditchina.gov.cn）记录查询网页截图、“中国政府采购网”（www.ccgp.gov.cn）记录查询网页截图、“国家企业信用信息公示系统”股权结构查询。（查询结果网页截图）（根据招标文件要求提供）</w:t>
      </w:r>
    </w:p>
    <w:p>
      <w:pPr>
        <w:spacing w:line="400" w:lineRule="exact"/>
        <w:ind w:firstLine="422" w:firstLineChars="150"/>
        <w:jc w:val="left"/>
        <w:rPr>
          <w:rFonts w:ascii="宋体" w:hAnsi="宋体" w:eastAsia="宋体" w:cs="宋体"/>
          <w:b/>
          <w:bCs/>
          <w:spacing w:val="-2"/>
          <w:sz w:val="28"/>
          <w:szCs w:val="28"/>
          <w:highlight w:val="none"/>
        </w:rPr>
      </w:pPr>
      <w:r>
        <w:rPr>
          <w:rFonts w:hint="eastAsia" w:ascii="宋体" w:hAnsi="宋体" w:eastAsia="宋体" w:cs="宋体"/>
          <w:b/>
          <w:bCs/>
          <w:sz w:val="28"/>
          <w:szCs w:val="28"/>
          <w:highlight w:val="none"/>
        </w:rPr>
        <w:t>（注：若投标人未按实际情况提供或提供虚假信息，经评标委员会讨论后，应作废标处理。）</w:t>
      </w:r>
    </w:p>
    <w:p>
      <w:pPr>
        <w:spacing w:line="400" w:lineRule="exact"/>
        <w:jc w:val="left"/>
        <w:rPr>
          <w:rFonts w:ascii="宋体" w:hAnsi="宋体" w:eastAsia="宋体" w:cs="宋体"/>
          <w:b/>
          <w:bCs/>
          <w:sz w:val="28"/>
          <w:szCs w:val="28"/>
          <w:highlight w:val="none"/>
        </w:rPr>
      </w:pPr>
    </w:p>
    <w:p>
      <w:pPr>
        <w:pStyle w:val="33"/>
        <w:spacing w:line="400" w:lineRule="exact"/>
        <w:jc w:val="left"/>
        <w:outlineLvl w:val="9"/>
        <w:rPr>
          <w:rFonts w:ascii="宋体" w:hAnsi="宋体" w:cs="宋体"/>
          <w:bCs/>
          <w:sz w:val="28"/>
          <w:szCs w:val="28"/>
          <w:highlight w:val="none"/>
        </w:rPr>
      </w:pPr>
    </w:p>
    <w:p>
      <w:pPr>
        <w:spacing w:line="400" w:lineRule="exact"/>
        <w:rPr>
          <w:rFonts w:ascii="宋体" w:hAnsi="宋体" w:eastAsia="宋体" w:cs="宋体"/>
          <w:b/>
          <w:bCs/>
          <w:sz w:val="28"/>
          <w:szCs w:val="28"/>
          <w:highlight w:val="none"/>
        </w:rPr>
      </w:pPr>
      <w:r>
        <w:rPr>
          <w:rFonts w:hint="eastAsia" w:ascii="宋体" w:hAnsi="宋体" w:eastAsia="宋体" w:cs="宋体"/>
          <w:b/>
          <w:bCs/>
          <w:sz w:val="28"/>
          <w:szCs w:val="28"/>
          <w:highlight w:val="none"/>
        </w:rPr>
        <w:t>四、其他资格条件证明材料（复印件加盖公章）</w:t>
      </w:r>
    </w:p>
    <w:p>
      <w:pPr>
        <w:adjustRightInd w:val="0"/>
        <w:snapToGrid w:val="0"/>
        <w:spacing w:line="400" w:lineRule="exact"/>
        <w:rPr>
          <w:rFonts w:ascii="宋体" w:hAnsi="宋体" w:eastAsia="宋体" w:cs="宋体"/>
          <w:b/>
          <w:bCs/>
          <w:szCs w:val="32"/>
          <w:highlight w:val="none"/>
        </w:rPr>
      </w:pPr>
    </w:p>
    <w:p>
      <w:pPr>
        <w:spacing w:line="400" w:lineRule="exact"/>
        <w:rPr>
          <w:rFonts w:ascii="宋体" w:hAnsi="宋体" w:eastAsia="宋体" w:cs="宋体"/>
          <w:highlight w:val="none"/>
        </w:rPr>
      </w:pPr>
    </w:p>
    <w:p>
      <w:pPr>
        <w:pStyle w:val="24"/>
        <w:spacing w:line="400" w:lineRule="exact"/>
        <w:ind w:left="640"/>
        <w:rPr>
          <w:rFonts w:hint="default"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spacing w:before="101" w:afterLines="100" w:line="400" w:lineRule="exact"/>
        <w:jc w:val="center"/>
        <w:rPr>
          <w:rFonts w:ascii="宋体" w:hAnsi="宋体" w:eastAsia="宋体" w:cs="宋体"/>
          <w:b/>
          <w:kern w:val="0"/>
          <w:szCs w:val="32"/>
          <w:highlight w:val="none"/>
        </w:rPr>
      </w:pPr>
      <w:r>
        <w:rPr>
          <w:rFonts w:hint="eastAsia" w:ascii="宋体" w:hAnsi="宋体" w:eastAsia="宋体" w:cs="宋体"/>
          <w:b/>
          <w:kern w:val="0"/>
          <w:szCs w:val="32"/>
          <w:highlight w:val="none"/>
        </w:rPr>
        <w:t>五、安全服务承诺函</w:t>
      </w:r>
    </w:p>
    <w:p>
      <w:pPr>
        <w:pStyle w:val="8"/>
        <w:spacing w:line="400" w:lineRule="exact"/>
        <w:rPr>
          <w:rFonts w:ascii="宋体" w:hAnsi="宋体" w:cs="宋体"/>
          <w:highlight w:val="none"/>
        </w:rPr>
      </w:pPr>
      <w:r>
        <w:rPr>
          <w:rFonts w:hint="eastAsia" w:ascii="宋体" w:hAnsi="宋体" w:cs="宋体"/>
          <w:b/>
          <w:bCs/>
          <w:highlight w:val="none"/>
        </w:rPr>
        <w:t>杭州临江环境能源有限公司：</w:t>
      </w:r>
    </w:p>
    <w:p>
      <w:pPr>
        <w:spacing w:line="400" w:lineRule="exact"/>
        <w:ind w:firstLine="480" w:firstLineChars="200"/>
        <w:jc w:val="left"/>
        <w:rPr>
          <w:rFonts w:ascii="宋体" w:hAnsi="宋体" w:eastAsia="宋体" w:cs="宋体"/>
          <w:sz w:val="24"/>
          <w:highlight w:val="none"/>
        </w:rPr>
      </w:pPr>
      <w:r>
        <w:rPr>
          <w:rFonts w:hint="eastAsia" w:ascii="宋体" w:hAnsi="宋体" w:eastAsia="宋体" w:cs="宋体"/>
          <w:sz w:val="24"/>
          <w:highlight w:val="none"/>
          <w:u w:val="single"/>
        </w:rPr>
        <w:t>（投标人名称）</w:t>
      </w:r>
      <w:r>
        <w:rPr>
          <w:rFonts w:hint="eastAsia" w:ascii="宋体" w:hAnsi="宋体" w:eastAsia="宋体" w:cs="宋体"/>
          <w:sz w:val="24"/>
          <w:highlight w:val="none"/>
        </w:rPr>
        <w:t>承诺如成为该项目的中标人，在合同约定的服务期限内，我司提供的维保服务过程中发生的一切安全事故、环保事故等一切不良责任事件，因上述事故、事件给贵司或其他第三方造成的一切损失（包括但不限于直接经济损失、罚款、为维权发生的诉讼费/律师费/保全费及保全担保费等）均由我司承担。</w:t>
      </w:r>
    </w:p>
    <w:p>
      <w:pPr>
        <w:spacing w:line="400" w:lineRule="exact"/>
        <w:rPr>
          <w:rFonts w:ascii="宋体" w:hAnsi="宋体" w:eastAsia="宋体" w:cs="宋体"/>
          <w:sz w:val="18"/>
          <w:szCs w:val="18"/>
          <w:highlight w:val="none"/>
        </w:rPr>
      </w:pPr>
    </w:p>
    <w:p>
      <w:pPr>
        <w:spacing w:line="400" w:lineRule="exact"/>
        <w:rPr>
          <w:rFonts w:ascii="宋体" w:hAnsi="宋体" w:eastAsia="宋体" w:cs="宋体"/>
          <w:sz w:val="18"/>
          <w:szCs w:val="18"/>
          <w:highlight w:val="none"/>
        </w:rPr>
      </w:pPr>
    </w:p>
    <w:p>
      <w:pPr>
        <w:pStyle w:val="8"/>
        <w:spacing w:line="400" w:lineRule="exact"/>
        <w:ind w:firstLine="210"/>
        <w:rPr>
          <w:rFonts w:ascii="宋体" w:hAnsi="宋体" w:cs="宋体"/>
          <w:highlight w:val="none"/>
        </w:rPr>
      </w:pPr>
    </w:p>
    <w:p>
      <w:pPr>
        <w:pStyle w:val="9"/>
        <w:spacing w:line="400" w:lineRule="exact"/>
        <w:ind w:firstLine="210"/>
        <w:rPr>
          <w:rFonts w:ascii="宋体" w:hAnsi="宋体" w:cs="宋体"/>
          <w:highlight w:val="none"/>
        </w:rPr>
      </w:pPr>
    </w:p>
    <w:p>
      <w:pPr>
        <w:pStyle w:val="13"/>
        <w:spacing w:line="400" w:lineRule="exact"/>
        <w:rPr>
          <w:rFonts w:hAnsi="宋体" w:cs="宋体"/>
          <w:highlight w:val="none"/>
        </w:rPr>
      </w:pPr>
      <w:r>
        <w:rPr>
          <w:rFonts w:hint="eastAsia" w:hAnsi="宋体" w:cs="宋体"/>
          <w:highlight w:val="none"/>
        </w:rPr>
        <w:t>投标人（盖公章）：</w:t>
      </w:r>
    </w:p>
    <w:p>
      <w:pPr>
        <w:pStyle w:val="13"/>
        <w:spacing w:line="400" w:lineRule="exact"/>
        <w:rPr>
          <w:rFonts w:hAnsi="宋体" w:cs="宋体"/>
          <w:highlight w:val="none"/>
        </w:rPr>
      </w:pPr>
      <w:r>
        <w:rPr>
          <w:rFonts w:hint="eastAsia" w:hAnsi="宋体" w:cs="宋体"/>
          <w:highlight w:val="none"/>
        </w:rPr>
        <w:t>法定代表人或其委托代理人（签字或盖章）：</w:t>
      </w:r>
    </w:p>
    <w:p>
      <w:pPr>
        <w:pStyle w:val="8"/>
        <w:spacing w:line="400" w:lineRule="exact"/>
        <w:ind w:firstLine="210"/>
        <w:rPr>
          <w:rFonts w:ascii="宋体" w:hAnsi="宋体" w:cs="宋体"/>
          <w:highlight w:val="none"/>
        </w:rPr>
      </w:pPr>
      <w:r>
        <w:rPr>
          <w:rFonts w:hint="eastAsia" w:ascii="宋体" w:hAnsi="宋体" w:cs="宋体"/>
          <w:highlight w:val="none"/>
        </w:rPr>
        <w:t xml:space="preserve">日期：      年    月    日  </w:t>
      </w:r>
    </w:p>
    <w:p>
      <w:pPr>
        <w:pStyle w:val="22"/>
        <w:spacing w:line="400" w:lineRule="exact"/>
        <w:outlineLvl w:val="9"/>
        <w:rPr>
          <w:rFonts w:ascii="宋体" w:hAnsi="宋体" w:eastAsia="宋体" w:cs="宋体"/>
          <w:color w:val="auto"/>
          <w:highlight w:val="none"/>
        </w:rPr>
      </w:pPr>
    </w:p>
    <w:p>
      <w:pPr>
        <w:spacing w:line="400" w:lineRule="exact"/>
        <w:rPr>
          <w:rFonts w:ascii="宋体" w:hAnsi="宋体" w:eastAsia="宋体" w:cs="宋体"/>
          <w:highlight w:val="none"/>
        </w:rPr>
      </w:pPr>
    </w:p>
    <w:p>
      <w:pPr>
        <w:pStyle w:val="22"/>
        <w:spacing w:line="400" w:lineRule="exact"/>
        <w:outlineLvl w:val="9"/>
        <w:rPr>
          <w:rFonts w:ascii="宋体" w:hAnsi="宋体" w:eastAsia="宋体" w:cs="宋体"/>
          <w:color w:val="auto"/>
          <w:highlight w:val="none"/>
        </w:rPr>
      </w:pPr>
    </w:p>
    <w:p>
      <w:pPr>
        <w:spacing w:line="400" w:lineRule="exact"/>
        <w:rPr>
          <w:rFonts w:ascii="宋体" w:hAnsi="宋体" w:eastAsia="宋体" w:cs="宋体"/>
          <w:highlight w:val="none"/>
        </w:rPr>
      </w:pPr>
    </w:p>
    <w:p>
      <w:pPr>
        <w:pStyle w:val="22"/>
        <w:spacing w:line="400" w:lineRule="exact"/>
        <w:outlineLvl w:val="9"/>
        <w:rPr>
          <w:rFonts w:ascii="宋体" w:hAnsi="宋体" w:eastAsia="宋体" w:cs="宋体"/>
          <w:color w:val="auto"/>
          <w:highlight w:val="none"/>
        </w:rPr>
      </w:pPr>
    </w:p>
    <w:p>
      <w:pPr>
        <w:spacing w:line="400" w:lineRule="exact"/>
        <w:rPr>
          <w:rFonts w:ascii="宋体" w:hAnsi="宋体" w:eastAsia="宋体" w:cs="宋体"/>
          <w:highlight w:val="none"/>
        </w:rPr>
      </w:pPr>
    </w:p>
    <w:p>
      <w:pPr>
        <w:pStyle w:val="22"/>
        <w:spacing w:line="400" w:lineRule="exact"/>
        <w:outlineLvl w:val="9"/>
        <w:rPr>
          <w:rFonts w:ascii="宋体" w:hAnsi="宋体" w:eastAsia="宋体" w:cs="宋体"/>
          <w:color w:val="auto"/>
          <w:highlight w:val="none"/>
        </w:rPr>
      </w:pPr>
    </w:p>
    <w:p>
      <w:pPr>
        <w:spacing w:line="400" w:lineRule="exact"/>
        <w:rPr>
          <w:rFonts w:ascii="宋体" w:hAnsi="宋体" w:eastAsia="宋体" w:cs="宋体"/>
          <w:highlight w:val="none"/>
        </w:rPr>
      </w:pPr>
    </w:p>
    <w:p>
      <w:pPr>
        <w:pStyle w:val="22"/>
        <w:spacing w:line="400" w:lineRule="exact"/>
        <w:outlineLvl w:val="9"/>
        <w:rPr>
          <w:rFonts w:ascii="宋体" w:hAnsi="宋体" w:eastAsia="宋体" w:cs="宋体"/>
          <w:color w:val="auto"/>
          <w:highlight w:val="none"/>
        </w:rPr>
      </w:pPr>
    </w:p>
    <w:p>
      <w:pPr>
        <w:spacing w:line="400" w:lineRule="exact"/>
        <w:rPr>
          <w:rFonts w:ascii="宋体" w:hAnsi="宋体" w:eastAsia="宋体" w:cs="宋体"/>
          <w:highlight w:val="none"/>
        </w:rPr>
      </w:pPr>
    </w:p>
    <w:p>
      <w:pPr>
        <w:adjustRightInd w:val="0"/>
        <w:snapToGrid w:val="0"/>
        <w:spacing w:line="400" w:lineRule="exact"/>
        <w:rPr>
          <w:rFonts w:ascii="宋体" w:hAnsi="宋体" w:eastAsia="宋体" w:cs="宋体"/>
          <w:highlight w:val="none"/>
        </w:rPr>
      </w:pPr>
    </w:p>
    <w:p>
      <w:pPr>
        <w:spacing w:before="101" w:afterLines="100" w:line="400" w:lineRule="exact"/>
        <w:rPr>
          <w:rFonts w:ascii="宋体" w:hAnsi="宋体" w:eastAsia="宋体" w:cs="宋体"/>
          <w:b/>
          <w:kern w:val="0"/>
          <w:szCs w:val="32"/>
          <w:highlight w:val="none"/>
        </w:rPr>
      </w:pPr>
    </w:p>
    <w:p>
      <w:pPr>
        <w:spacing w:before="101" w:afterLines="100" w:line="400" w:lineRule="exact"/>
        <w:jc w:val="center"/>
        <w:rPr>
          <w:rFonts w:ascii="宋体" w:hAnsi="宋体" w:eastAsia="宋体" w:cs="宋体"/>
          <w:b/>
          <w:sz w:val="24"/>
          <w:highlight w:val="none"/>
        </w:rPr>
      </w:pPr>
      <w:r>
        <w:rPr>
          <w:rFonts w:hint="eastAsia" w:ascii="宋体" w:hAnsi="宋体" w:eastAsia="宋体" w:cs="宋体"/>
          <w:b/>
          <w:kern w:val="0"/>
          <w:szCs w:val="32"/>
          <w:highlight w:val="none"/>
        </w:rPr>
        <w:t>六、投标声明书</w:t>
      </w:r>
    </w:p>
    <w:p>
      <w:pPr>
        <w:pStyle w:val="57"/>
        <w:wordWrap w:val="0"/>
        <w:spacing w:line="400" w:lineRule="exact"/>
        <w:ind w:firstLine="720"/>
        <w:rPr>
          <w:rFonts w:cs="宋体"/>
          <w:szCs w:val="24"/>
          <w:highlight w:val="none"/>
        </w:rPr>
      </w:pPr>
    </w:p>
    <w:p>
      <w:pPr>
        <w:pStyle w:val="13"/>
        <w:wordWrap w:val="0"/>
        <w:spacing w:line="400" w:lineRule="exact"/>
        <w:rPr>
          <w:rFonts w:hAnsi="宋体" w:cs="宋体"/>
          <w:sz w:val="24"/>
          <w:szCs w:val="24"/>
          <w:highlight w:val="none"/>
        </w:rPr>
      </w:pPr>
      <w:r>
        <w:rPr>
          <w:rFonts w:hint="eastAsia" w:hAnsi="宋体" w:cs="宋体"/>
          <w:sz w:val="24"/>
          <w:szCs w:val="24"/>
          <w:highlight w:val="none"/>
          <w:u w:val="single"/>
        </w:rPr>
        <w:t xml:space="preserve"> （招标人）              </w:t>
      </w:r>
      <w:r>
        <w:rPr>
          <w:rFonts w:hint="eastAsia" w:hAnsi="宋体" w:cs="宋体"/>
          <w:sz w:val="24"/>
          <w:szCs w:val="24"/>
          <w:highlight w:val="none"/>
        </w:rPr>
        <w:t>：</w:t>
      </w:r>
    </w:p>
    <w:p>
      <w:pPr>
        <w:wordWrap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本单位自愿参加</w:t>
      </w:r>
      <w:r>
        <w:rPr>
          <w:rFonts w:hint="eastAsia" w:ascii="宋体" w:hAnsi="宋体" w:eastAsia="宋体" w:cs="宋体"/>
          <w:sz w:val="24"/>
          <w:highlight w:val="none"/>
          <w:u w:val="single"/>
        </w:rPr>
        <w:t>2024-2026年度起重设备及抓斗维保采购项目（项目编号：NY-1FZB2410089）</w:t>
      </w:r>
      <w:r>
        <w:rPr>
          <w:rFonts w:hint="eastAsia" w:ascii="宋体" w:hAnsi="宋体" w:eastAsia="宋体" w:cs="宋体"/>
          <w:sz w:val="24"/>
          <w:highlight w:val="none"/>
        </w:rPr>
        <w:t>的投标，并保证投标文件中所列举的投标报价文件及相关资料和公司基本情况资料是真实的、合法的。为此，我方就本次投标有关事项郑重声明如下：</w:t>
      </w:r>
    </w:p>
    <w:p>
      <w:pPr>
        <w:numPr>
          <w:ilvl w:val="0"/>
          <w:numId w:val="3"/>
        </w:numPr>
        <w:wordWrap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我单位具有独立承担民事责任的能力、具有良好的商业信誉和健全的财务会计制度、具有履行合同所必需的设备和专业技术能力、具有依法缴纳税收和社会保障资金的良好记录。</w:t>
      </w:r>
    </w:p>
    <w:p>
      <w:pPr>
        <w:wordWrap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二、本单位与招标人之间不存在下列利害关系：</w:t>
      </w:r>
    </w:p>
    <w:p>
      <w:pPr>
        <w:wordWrap w:val="0"/>
        <w:snapToGrid w:val="0"/>
        <w:spacing w:line="400" w:lineRule="exact"/>
        <w:ind w:firstLine="720" w:firstLineChars="300"/>
        <w:rPr>
          <w:rFonts w:ascii="宋体" w:hAnsi="宋体" w:eastAsia="宋体" w:cs="宋体"/>
          <w:sz w:val="24"/>
          <w:highlight w:val="none"/>
        </w:rPr>
      </w:pPr>
      <w:r>
        <w:rPr>
          <w:rFonts w:hint="eastAsia" w:ascii="宋体" w:hAnsi="宋体" w:eastAsia="宋体" w:cs="宋体"/>
          <w:sz w:val="24"/>
          <w:highlight w:val="none"/>
        </w:rPr>
        <w:t>A．投资关系      B．行政隶属关系      C．业务指导关系  D．其他可能影响采购公正的利害关系。</w:t>
      </w:r>
    </w:p>
    <w:p>
      <w:pPr>
        <w:wordWrap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三、</w:t>
      </w:r>
      <w:r>
        <w:rPr>
          <w:rFonts w:hint="eastAsia" w:ascii="宋体" w:hAnsi="宋体" w:eastAsia="宋体" w:cs="宋体"/>
          <w:b/>
          <w:bCs/>
          <w:sz w:val="24"/>
          <w:highlight w:val="none"/>
          <w:u w:val="single"/>
        </w:rPr>
        <w:t>与本单位存在下列利害关系的投标人未参加本次采购活动：</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A．法定代表人或负责人或实际控制人是同一人</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B．法定代表人或负责人或实际控制人是夫妻关系</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C．法定代表人或负责人或实际控制人是直系血亲关系</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D．法定代表人或负责人或实际控制人存在三代以内旁系血亲关系</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E．法定代表人或负责人或实际控制人存在近姻亲关系</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F．法定代表人或负责人或实际控制人存在股份控制或实际控制关系</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G．存在共同直接或间接投资设立子公司、联营企业和合营企业情况  </w:t>
      </w:r>
    </w:p>
    <w:p>
      <w:pPr>
        <w:wordWrap w:val="0"/>
        <w:snapToGrid w:val="0"/>
        <w:spacing w:line="400" w:lineRule="exact"/>
        <w:ind w:firstLine="720" w:firstLineChars="300"/>
        <w:rPr>
          <w:rFonts w:ascii="宋体" w:hAnsi="宋体" w:eastAsia="宋体" w:cs="宋体"/>
          <w:sz w:val="24"/>
          <w:highlight w:val="none"/>
        </w:rPr>
      </w:pPr>
      <w:r>
        <w:rPr>
          <w:rFonts w:hint="eastAsia" w:ascii="宋体" w:hAnsi="宋体" w:eastAsia="宋体" w:cs="宋体"/>
          <w:sz w:val="24"/>
          <w:highlight w:val="none"/>
        </w:rPr>
        <w:t>H．存在分级代理或代销关系、同一生产制造商关系、管理关系、重要业务（占主营业务收入50％以上）或重要财务往来关系（如融资）等其他实质性控制关系。</w:t>
      </w:r>
    </w:p>
    <w:p>
      <w:pPr>
        <w:wordWrap w:val="0"/>
        <w:snapToGrid w:val="0"/>
        <w:spacing w:line="400" w:lineRule="exact"/>
        <w:ind w:left="730" w:leftChars="228"/>
        <w:rPr>
          <w:rFonts w:ascii="宋体" w:hAnsi="宋体" w:eastAsia="宋体" w:cs="宋体"/>
          <w:sz w:val="24"/>
          <w:highlight w:val="none"/>
        </w:rPr>
      </w:pPr>
      <w:r>
        <w:rPr>
          <w:rFonts w:hint="eastAsia" w:ascii="宋体" w:hAnsi="宋体" w:eastAsia="宋体" w:cs="宋体"/>
          <w:sz w:val="24"/>
          <w:highlight w:val="none"/>
        </w:rPr>
        <w:t>I．其他利害关系情况：直接控股或存在管理关系的。</w:t>
      </w:r>
    </w:p>
    <w:p>
      <w:pPr>
        <w:wordWrap w:val="0"/>
        <w:snapToGrid w:val="0"/>
        <w:spacing w:line="400" w:lineRule="exact"/>
        <w:ind w:firstLine="480" w:firstLineChars="200"/>
        <w:rPr>
          <w:rFonts w:ascii="宋体" w:hAnsi="宋体" w:eastAsia="宋体" w:cs="宋体"/>
          <w:sz w:val="24"/>
          <w:highlight w:val="none"/>
        </w:rPr>
      </w:pPr>
    </w:p>
    <w:p>
      <w:pPr>
        <w:wordWrap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如有虚假或隐瞒，我方愿意承担一切后果，并不再寻求任何旨在减轻或免除法律责任的辩解。</w:t>
      </w:r>
    </w:p>
    <w:p>
      <w:pPr>
        <w:wordWrap w:val="0"/>
        <w:snapToGrid w:val="0"/>
        <w:spacing w:line="400" w:lineRule="exact"/>
        <w:ind w:firstLine="480" w:firstLineChars="200"/>
        <w:rPr>
          <w:rFonts w:ascii="宋体" w:hAnsi="宋体" w:eastAsia="宋体" w:cs="宋体"/>
          <w:sz w:val="24"/>
          <w:highlight w:val="none"/>
        </w:rPr>
      </w:pPr>
    </w:p>
    <w:p>
      <w:pPr>
        <w:wordWrap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 xml:space="preserve">投标人名称（盖单位公章）：  </w:t>
      </w:r>
    </w:p>
    <w:p>
      <w:pPr>
        <w:pStyle w:val="13"/>
        <w:wordWrap w:val="0"/>
        <w:spacing w:line="400" w:lineRule="exact"/>
        <w:ind w:firstLine="480" w:firstLineChars="200"/>
        <w:rPr>
          <w:rFonts w:hAnsi="宋体" w:cs="宋体"/>
          <w:sz w:val="24"/>
          <w:szCs w:val="24"/>
          <w:highlight w:val="none"/>
          <w:lang w:val="en-GB"/>
        </w:rPr>
      </w:pPr>
      <w:r>
        <w:rPr>
          <w:rFonts w:hint="eastAsia" w:hAnsi="宋体" w:cs="宋体"/>
          <w:sz w:val="24"/>
          <w:szCs w:val="24"/>
          <w:highlight w:val="none"/>
          <w:lang w:val="zh-CN"/>
        </w:rPr>
        <w:t>日期</w:t>
      </w:r>
      <w:r>
        <w:rPr>
          <w:rFonts w:hint="eastAsia" w:hAnsi="宋体" w:cs="宋体"/>
          <w:sz w:val="24"/>
          <w:szCs w:val="24"/>
          <w:highlight w:val="none"/>
        </w:rPr>
        <w:t xml:space="preserve">：  </w:t>
      </w:r>
      <w:r>
        <w:rPr>
          <w:rFonts w:hint="eastAsia" w:hAnsi="宋体" w:cs="宋体"/>
          <w:sz w:val="24"/>
          <w:szCs w:val="24"/>
          <w:highlight w:val="none"/>
          <w:lang w:val="zh-CN"/>
        </w:rPr>
        <w:t>年月日</w:t>
      </w:r>
    </w:p>
    <w:p>
      <w:pPr>
        <w:wordWrap w:val="0"/>
        <w:spacing w:line="400" w:lineRule="exact"/>
        <w:jc w:val="center"/>
        <w:rPr>
          <w:rFonts w:ascii="宋体" w:hAnsi="宋体" w:eastAsia="宋体" w:cs="宋体"/>
          <w:b/>
          <w:bCs/>
          <w:sz w:val="28"/>
          <w:szCs w:val="28"/>
          <w:highlight w:val="none"/>
        </w:rPr>
      </w:pPr>
      <w:r>
        <w:rPr>
          <w:rFonts w:hint="eastAsia" w:ascii="宋体" w:hAnsi="宋体" w:eastAsia="宋体" w:cs="宋体"/>
          <w:b/>
          <w:bCs/>
          <w:sz w:val="28"/>
          <w:szCs w:val="28"/>
          <w:highlight w:val="none"/>
        </w:rPr>
        <w:br w:type="page"/>
      </w:r>
      <w:bookmarkStart w:id="115" w:name="_Toc18885"/>
      <w:bookmarkStart w:id="116" w:name="_Toc83886044"/>
    </w:p>
    <w:p>
      <w:pPr>
        <w:spacing w:before="101" w:afterLines="100" w:line="400" w:lineRule="exact"/>
        <w:jc w:val="center"/>
        <w:rPr>
          <w:rFonts w:ascii="宋体" w:hAnsi="宋体"/>
          <w:b/>
          <w:sz w:val="24"/>
          <w:highlight w:val="none"/>
        </w:rPr>
      </w:pPr>
      <w:r>
        <w:rPr>
          <w:rFonts w:hint="eastAsia" w:ascii="宋体" w:hAnsi="宋体" w:eastAsia="宋体" w:cs="宋体"/>
          <w:b/>
          <w:kern w:val="0"/>
          <w:szCs w:val="32"/>
          <w:highlight w:val="none"/>
        </w:rPr>
        <w:t>七、有关知识产权的声明</w:t>
      </w:r>
    </w:p>
    <w:p>
      <w:pPr>
        <w:spacing w:beforeLines="50" w:afterLines="50" w:line="400" w:lineRule="exact"/>
        <w:rPr>
          <w:rFonts w:ascii="宋体" w:hAnsi="宋体" w:eastAsia="宋体" w:cs="宋体"/>
          <w:sz w:val="24"/>
          <w:highlight w:val="none"/>
          <w:u w:val="single"/>
        </w:rPr>
      </w:pPr>
      <w:r>
        <w:rPr>
          <w:rFonts w:hint="eastAsia" w:ascii="宋体" w:hAnsi="宋体" w:eastAsia="宋体" w:cs="宋体"/>
          <w:sz w:val="24"/>
          <w:highlight w:val="none"/>
        </w:rPr>
        <w:t>致：</w:t>
      </w:r>
      <w:r>
        <w:rPr>
          <w:rFonts w:hint="eastAsia" w:ascii="宋体" w:hAnsi="宋体" w:eastAsia="宋体" w:cs="宋体"/>
          <w:sz w:val="24"/>
          <w:highlight w:val="none"/>
          <w:u w:val="single"/>
        </w:rPr>
        <w:t xml:space="preserve">杭州临江环境能源有限公司 </w:t>
      </w:r>
    </w:p>
    <w:p>
      <w:pPr>
        <w:spacing w:beforeLines="50" w:afterLines="50" w:line="400" w:lineRule="exact"/>
        <w:ind w:firstLine="480"/>
        <w:rPr>
          <w:rFonts w:ascii="宋体" w:hAnsi="宋体" w:eastAsia="宋体" w:cs="宋体"/>
          <w:sz w:val="24"/>
          <w:highlight w:val="none"/>
        </w:rPr>
      </w:pPr>
      <w:r>
        <w:rPr>
          <w:rFonts w:hint="eastAsia" w:ascii="宋体" w:hAnsi="宋体" w:eastAsia="宋体" w:cs="宋体"/>
          <w:sz w:val="24"/>
          <w:highlight w:val="none"/>
        </w:rPr>
        <w:t>为响应你方______年____月____日的</w:t>
      </w:r>
      <w:r>
        <w:rPr>
          <w:rFonts w:hint="eastAsia" w:ascii="宋体" w:hAnsi="宋体" w:eastAsia="宋体" w:cs="宋体"/>
          <w:sz w:val="24"/>
          <w:highlight w:val="none"/>
          <w:u w:val="single"/>
        </w:rPr>
        <w:t>NY-1FZB2410089</w:t>
      </w:r>
      <w:r>
        <w:rPr>
          <w:rFonts w:hint="eastAsia" w:ascii="宋体" w:hAnsi="宋体" w:eastAsia="宋体" w:cs="宋体"/>
          <w:sz w:val="24"/>
          <w:highlight w:val="none"/>
        </w:rPr>
        <w:t>投标，下述签字人愿参与投标，提供招标文件中规定的</w:t>
      </w:r>
      <w:r>
        <w:rPr>
          <w:rFonts w:hint="eastAsia" w:ascii="宋体" w:hAnsi="宋体" w:eastAsia="宋体" w:cs="宋体"/>
          <w:sz w:val="24"/>
          <w:highlight w:val="none"/>
          <w:u w:val="single"/>
        </w:rPr>
        <w:t>起重设备及抓斗维保服务</w:t>
      </w:r>
      <w:r>
        <w:rPr>
          <w:rFonts w:hint="eastAsia" w:ascii="宋体" w:hAnsi="宋体" w:eastAsia="宋体" w:cs="宋体"/>
          <w:sz w:val="24"/>
          <w:highlight w:val="none"/>
        </w:rPr>
        <w:t>，提交下述文件并证明全部说明是真实的和正确的。</w:t>
      </w:r>
    </w:p>
    <w:p>
      <w:pPr>
        <w:tabs>
          <w:tab w:val="left" w:pos="993"/>
        </w:tabs>
        <w:spacing w:beforeLines="50" w:afterLines="50"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（1）我司承诺提供的涉及本项目所有货物（包括其整体及其所包含的所有组 成部分）均已合法地获得并有效适用于相应所在国家和地区的所有有关知识产权。若招标人因购买和使用我司所售予货物而遭受任何第三方的追索、诉讼或仲裁，或受到我司所在国的国家政府部门、行政机关、司法机关的处罚、判决、执行，我司将补偿招标人因此而遭受的一切损失。</w:t>
      </w:r>
    </w:p>
    <w:p>
      <w:pPr>
        <w:tabs>
          <w:tab w:val="left" w:pos="993"/>
        </w:tabs>
        <w:spacing w:beforeLines="50" w:afterLines="50"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（2）我司将说明技术来源，以及我司和国外技术支持方（如果有）的合作关系及分工，并提供合作协议书等相关文件的有关章节；</w:t>
      </w:r>
    </w:p>
    <w:p>
      <w:pPr>
        <w:tabs>
          <w:tab w:val="left" w:pos="993"/>
        </w:tabs>
        <w:spacing w:beforeLines="50" w:afterLines="50" w:line="400" w:lineRule="exact"/>
        <w:ind w:left="993" w:hanging="600"/>
        <w:rPr>
          <w:rFonts w:ascii="宋体" w:hAnsi="宋体" w:eastAsia="宋体" w:cs="宋体"/>
          <w:sz w:val="24"/>
          <w:highlight w:val="none"/>
        </w:rPr>
      </w:pPr>
      <w:r>
        <w:rPr>
          <w:rFonts w:hint="eastAsia" w:ascii="宋体" w:hAnsi="宋体" w:eastAsia="宋体" w:cs="宋体"/>
          <w:sz w:val="24"/>
          <w:highlight w:val="none"/>
        </w:rPr>
        <w:t>（3）我司将提供技术合作文件、技术合作协议、技术转让协议；</w:t>
      </w:r>
    </w:p>
    <w:p>
      <w:pPr>
        <w:tabs>
          <w:tab w:val="left" w:pos="993"/>
        </w:tabs>
        <w:spacing w:beforeLines="50" w:afterLines="50" w:line="400" w:lineRule="exact"/>
        <w:ind w:left="993" w:hanging="600"/>
        <w:rPr>
          <w:rFonts w:ascii="宋体" w:hAnsi="宋体" w:eastAsia="宋体" w:cs="宋体"/>
          <w:sz w:val="24"/>
          <w:highlight w:val="none"/>
        </w:rPr>
      </w:pPr>
      <w:r>
        <w:rPr>
          <w:rFonts w:hint="eastAsia" w:ascii="宋体" w:hAnsi="宋体" w:eastAsia="宋体" w:cs="宋体"/>
          <w:sz w:val="24"/>
          <w:highlight w:val="none"/>
        </w:rPr>
        <w:t>（4）我司将提供技术合作方对投标厂家质量担保、性能担保文件条款、罚款惩罚条款。</w:t>
      </w:r>
    </w:p>
    <w:p>
      <w:pPr>
        <w:tabs>
          <w:tab w:val="left" w:pos="993"/>
        </w:tabs>
        <w:spacing w:beforeLines="50" w:afterLines="50" w:line="400" w:lineRule="exact"/>
        <w:ind w:left="993" w:hanging="600"/>
        <w:rPr>
          <w:rFonts w:ascii="宋体" w:hAnsi="宋体" w:eastAsia="宋体" w:cs="宋体"/>
          <w:sz w:val="24"/>
          <w:highlight w:val="none"/>
        </w:rPr>
      </w:pPr>
      <w:r>
        <w:rPr>
          <w:rFonts w:hint="eastAsia" w:ascii="宋体" w:hAnsi="宋体" w:eastAsia="宋体" w:cs="宋体"/>
          <w:sz w:val="24"/>
          <w:highlight w:val="none"/>
        </w:rPr>
        <w:t>（5）我司和国外技术支持方（如果有）就本工程投标的保证文件；</w:t>
      </w:r>
    </w:p>
    <w:p>
      <w:pPr>
        <w:tabs>
          <w:tab w:val="left" w:pos="885"/>
        </w:tabs>
        <w:spacing w:beforeLines="50" w:afterLines="50" w:line="400" w:lineRule="exact"/>
        <w:rPr>
          <w:rFonts w:ascii="宋体" w:hAnsi="宋体" w:eastAsia="宋体" w:cs="宋体"/>
          <w:sz w:val="24"/>
          <w:highlight w:val="none"/>
        </w:rPr>
      </w:pPr>
    </w:p>
    <w:p>
      <w:pPr>
        <w:spacing w:beforeLines="50" w:afterLines="50" w:line="400" w:lineRule="exact"/>
        <w:ind w:firstLine="420"/>
        <w:rPr>
          <w:rFonts w:ascii="宋体" w:hAnsi="宋体" w:eastAsia="宋体" w:cs="宋体"/>
          <w:sz w:val="24"/>
          <w:highlight w:val="none"/>
        </w:rPr>
      </w:pPr>
      <w:r>
        <w:rPr>
          <w:rFonts w:hint="eastAsia" w:ascii="宋体" w:hAnsi="宋体" w:eastAsia="宋体" w:cs="宋体"/>
          <w:sz w:val="24"/>
          <w:highlight w:val="none"/>
        </w:rPr>
        <w:t xml:space="preserve">　 </w:t>
      </w:r>
    </w:p>
    <w:p>
      <w:pPr>
        <w:spacing w:beforeLines="50" w:afterLines="50" w:line="400" w:lineRule="exact"/>
        <w:ind w:firstLine="420"/>
        <w:rPr>
          <w:rFonts w:ascii="宋体" w:hAnsi="宋体" w:eastAsia="宋体" w:cs="宋体"/>
          <w:sz w:val="24"/>
          <w:highlight w:val="none"/>
        </w:rPr>
      </w:pPr>
      <w:r>
        <w:rPr>
          <w:rFonts w:hint="eastAsia" w:ascii="宋体" w:hAnsi="宋体" w:eastAsia="宋体" w:cs="宋体"/>
          <w:sz w:val="24"/>
          <w:highlight w:val="none"/>
        </w:rPr>
        <w:t xml:space="preserve">投标人名称（电子签章）：       </w:t>
      </w:r>
    </w:p>
    <w:p>
      <w:pPr>
        <w:spacing w:beforeLines="50" w:afterLines="50" w:line="400" w:lineRule="exact"/>
        <w:ind w:firstLine="420"/>
        <w:rPr>
          <w:rFonts w:ascii="宋体" w:hAnsi="宋体" w:eastAsia="宋体" w:cs="宋体"/>
          <w:sz w:val="24"/>
          <w:highlight w:val="none"/>
        </w:rPr>
      </w:pPr>
      <w:r>
        <w:rPr>
          <w:rFonts w:hint="eastAsia" w:ascii="宋体" w:hAnsi="宋体" w:eastAsia="宋体" w:cs="宋体"/>
          <w:sz w:val="24"/>
          <w:highlight w:val="none"/>
        </w:rPr>
        <w:t xml:space="preserve">地址：______________________________________________    </w:t>
      </w:r>
    </w:p>
    <w:p>
      <w:pPr>
        <w:spacing w:beforeLines="50" w:afterLines="50" w:line="400" w:lineRule="exact"/>
        <w:ind w:firstLine="420"/>
        <w:rPr>
          <w:rFonts w:ascii="宋体" w:hAnsi="宋体" w:eastAsia="宋体" w:cs="宋体"/>
          <w:sz w:val="24"/>
          <w:highlight w:val="none"/>
        </w:rPr>
      </w:pPr>
      <w:r>
        <w:rPr>
          <w:rFonts w:hint="eastAsia" w:ascii="宋体" w:hAnsi="宋体" w:eastAsia="宋体" w:cs="宋体"/>
          <w:sz w:val="24"/>
          <w:highlight w:val="none"/>
        </w:rPr>
        <w:t>传真：______________________</w:t>
      </w:r>
      <w:r>
        <w:rPr>
          <w:rFonts w:hint="eastAsia" w:ascii="宋体" w:hAnsi="宋体" w:eastAsia="宋体" w:cs="宋体"/>
          <w:sz w:val="24"/>
          <w:highlight w:val="none"/>
        </w:rPr>
        <w:tab/>
      </w:r>
      <w:r>
        <w:rPr>
          <w:rFonts w:hint="eastAsia" w:ascii="宋体" w:hAnsi="宋体" w:eastAsia="宋体" w:cs="宋体"/>
          <w:sz w:val="24"/>
          <w:highlight w:val="none"/>
        </w:rPr>
        <w:t xml:space="preserve">电话：__________________        </w:t>
      </w:r>
    </w:p>
    <w:p>
      <w:pPr>
        <w:spacing w:beforeLines="50" w:afterLines="50" w:line="400" w:lineRule="exact"/>
        <w:ind w:firstLine="480"/>
        <w:rPr>
          <w:rFonts w:ascii="宋体" w:hAnsi="宋体" w:eastAsia="宋体" w:cs="宋体"/>
          <w:sz w:val="24"/>
          <w:highlight w:val="none"/>
        </w:rPr>
        <w:sectPr>
          <w:headerReference r:id="rId8" w:type="first"/>
          <w:pgSz w:w="11906" w:h="16838"/>
          <w:pgMar w:top="1702" w:right="1644" w:bottom="1440" w:left="1644" w:header="567" w:footer="567" w:gutter="0"/>
          <w:cols w:space="720" w:num="1"/>
          <w:docGrid w:linePitch="312" w:charSpace="0"/>
        </w:sectPr>
      </w:pPr>
      <w:r>
        <w:rPr>
          <w:rFonts w:hint="eastAsia" w:ascii="宋体" w:hAnsi="宋体" w:eastAsia="宋体" w:cs="宋体"/>
          <w:sz w:val="24"/>
          <w:highlight w:val="none"/>
        </w:rPr>
        <w:t xml:space="preserve">邮编：______________________  </w:t>
      </w:r>
    </w:p>
    <w:p>
      <w:pPr>
        <w:wordWrap w:val="0"/>
        <w:spacing w:line="400" w:lineRule="exact"/>
        <w:jc w:val="center"/>
        <w:outlineLvl w:val="1"/>
        <w:rPr>
          <w:rFonts w:ascii="宋体" w:hAnsi="宋体" w:eastAsia="宋体" w:cs="宋体"/>
          <w:b/>
          <w:bCs/>
          <w:sz w:val="28"/>
          <w:szCs w:val="28"/>
          <w:highlight w:val="none"/>
        </w:rPr>
      </w:pPr>
      <w:r>
        <w:rPr>
          <w:rFonts w:hint="eastAsia" w:ascii="宋体" w:hAnsi="宋体" w:eastAsia="宋体" w:cs="宋体"/>
          <w:b/>
          <w:bCs/>
          <w:sz w:val="28"/>
          <w:szCs w:val="28"/>
          <w:highlight w:val="none"/>
        </w:rPr>
        <w:t>第二部分、商务文件</w:t>
      </w:r>
      <w:bookmarkEnd w:id="115"/>
      <w:bookmarkEnd w:id="116"/>
    </w:p>
    <w:p>
      <w:pPr>
        <w:pStyle w:val="5"/>
        <w:spacing w:line="400" w:lineRule="exact"/>
        <w:jc w:val="center"/>
        <w:rPr>
          <w:rFonts w:cs="宋体"/>
          <w:sz w:val="24"/>
          <w:szCs w:val="24"/>
          <w:highlight w:val="none"/>
        </w:rPr>
      </w:pPr>
      <w:r>
        <w:rPr>
          <w:rFonts w:hint="eastAsia" w:cs="宋体"/>
          <w:sz w:val="24"/>
          <w:szCs w:val="24"/>
          <w:highlight w:val="none"/>
        </w:rPr>
        <w:t>一、投 标 函</w:t>
      </w:r>
    </w:p>
    <w:p>
      <w:pPr>
        <w:tabs>
          <w:tab w:val="left" w:pos="2111"/>
        </w:tabs>
        <w:spacing w:line="400" w:lineRule="exact"/>
        <w:contextualSpacing/>
        <w:rPr>
          <w:rFonts w:ascii="宋体" w:hAnsi="宋体" w:eastAsia="宋体" w:cs="宋体"/>
          <w:sz w:val="24"/>
          <w:highlight w:val="none"/>
        </w:rPr>
      </w:pPr>
      <w:r>
        <w:rPr>
          <w:rFonts w:hint="eastAsia" w:ascii="宋体" w:hAnsi="宋体" w:eastAsia="宋体" w:cs="宋体"/>
          <w:sz w:val="24"/>
          <w:highlight w:val="none"/>
          <w:u w:val="single"/>
        </w:rPr>
        <w:t>杭州临江环境能源有限公司</w:t>
      </w:r>
      <w:r>
        <w:rPr>
          <w:rFonts w:hint="eastAsia" w:ascii="宋体" w:hAnsi="宋体" w:eastAsia="宋体" w:cs="宋体"/>
          <w:spacing w:val="-23"/>
          <w:sz w:val="24"/>
          <w:highlight w:val="none"/>
        </w:rPr>
        <w:t>：</w:t>
      </w:r>
    </w:p>
    <w:p>
      <w:pPr>
        <w:adjustRightInd w:val="0"/>
        <w:snapToGrid w:val="0"/>
        <w:spacing w:line="400" w:lineRule="exact"/>
        <w:ind w:left="182" w:leftChars="57" w:firstLine="360" w:firstLineChars="150"/>
        <w:rPr>
          <w:rFonts w:ascii="宋体" w:hAnsi="宋体" w:eastAsia="宋体" w:cs="宋体"/>
          <w:sz w:val="24"/>
          <w:highlight w:val="none"/>
        </w:rPr>
      </w:pPr>
      <w:r>
        <w:rPr>
          <w:rFonts w:hint="eastAsia" w:ascii="宋体" w:hAnsi="宋体" w:eastAsia="宋体" w:cs="宋体"/>
          <w:sz w:val="24"/>
          <w:highlight w:val="none"/>
        </w:rPr>
        <w:t>1．我方仔细研究了</w:t>
      </w:r>
      <w:r>
        <w:rPr>
          <w:rFonts w:hint="eastAsia" w:ascii="宋体" w:hAnsi="宋体" w:eastAsia="宋体" w:cs="宋体"/>
          <w:sz w:val="24"/>
          <w:highlight w:val="none"/>
          <w:u w:val="single"/>
        </w:rPr>
        <w:t>2024-2026年度起重设备及抓斗维保采购项目</w:t>
      </w:r>
      <w:r>
        <w:rPr>
          <w:rFonts w:hint="eastAsia" w:ascii="宋体" w:hAnsi="宋体" w:eastAsia="宋体" w:cs="宋体"/>
          <w:sz w:val="24"/>
          <w:highlight w:val="none"/>
        </w:rPr>
        <w:t>项目（招标编号：</w:t>
      </w:r>
      <w:r>
        <w:rPr>
          <w:rFonts w:hint="eastAsia" w:ascii="宋体" w:hAnsi="宋体" w:eastAsia="宋体" w:cs="宋体"/>
          <w:sz w:val="24"/>
          <w:highlight w:val="none"/>
          <w:u w:val="single"/>
        </w:rPr>
        <w:t>NY-1FZB2410089</w:t>
      </w:r>
      <w:r>
        <w:rPr>
          <w:rFonts w:hint="eastAsia" w:ascii="宋体" w:hAnsi="宋体" w:eastAsia="宋体" w:cs="宋体"/>
          <w:sz w:val="24"/>
          <w:highlight w:val="none"/>
        </w:rPr>
        <w:t>）招标文件（包括招标补充文件）的全部内容，愿意以人民币</w:t>
      </w:r>
      <w:r>
        <w:rPr>
          <w:rFonts w:hint="eastAsia" w:ascii="宋体" w:hAnsi="宋体" w:eastAsia="宋体" w:cs="宋体"/>
          <w:sz w:val="24"/>
          <w:highlight w:val="none"/>
          <w:u w:val="single"/>
        </w:rPr>
        <w:t xml:space="preserve">（大写）       </w:t>
      </w:r>
      <w:r>
        <w:rPr>
          <w:rFonts w:hint="eastAsia" w:ascii="宋体" w:hAnsi="宋体" w:eastAsia="宋体" w:cs="宋体"/>
          <w:sz w:val="24"/>
          <w:highlight w:val="none"/>
        </w:rPr>
        <w:t>元（¥），税率为</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的投标总报价承担本项目的相关工作，交货期（服务期），项目负责人。</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2．我方承诺在投标有效期内不撤销投标文件（从投标截止日起90日历天）</w:t>
      </w:r>
      <w:r>
        <w:rPr>
          <w:rFonts w:hint="eastAsia" w:ascii="宋体" w:hAnsi="宋体" w:eastAsia="宋体" w:cs="宋体"/>
          <w:b/>
          <w:bCs/>
          <w:sz w:val="24"/>
          <w:highlight w:val="none"/>
        </w:rPr>
        <w:t>注：按项目实际情况予以修改投标有效期</w:t>
      </w:r>
      <w:r>
        <w:rPr>
          <w:rFonts w:hint="eastAsia" w:ascii="宋体" w:hAnsi="宋体" w:eastAsia="宋体" w:cs="宋体"/>
          <w:sz w:val="24"/>
          <w:highlight w:val="none"/>
        </w:rPr>
        <w:t>。</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3．我方已详细审查全部招标文件、包括修改文件（如需要修改）以及全部参考资料和有关附件。我们完全理解并同意放弃对这方面有不明及误解的权利。</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4. 我方同意按照招标人要求提供与其招标有关的一切数据和资料，完全理解招标人不一定接受最低价的投标或收到的任何投标。</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5．如我方中标：</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（1）我方承诺收到中标通知书后，在中标通知书规定的期限内与你方签订合同。</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（2）我方承诺按照招标文件规定向你方递交履约担保。</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（3）我方承诺在合同约定的期限内完成所有工作内容。</w:t>
      </w:r>
    </w:p>
    <w:p>
      <w:pPr>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6．我方在此声明，所递交的投标文件及有关资料内容完整、真实和准确。</w:t>
      </w:r>
    </w:p>
    <w:p>
      <w:pPr>
        <w:spacing w:line="400" w:lineRule="exact"/>
        <w:ind w:firstLine="504" w:firstLineChars="200"/>
        <w:contextualSpacing/>
        <w:rPr>
          <w:rFonts w:ascii="宋体" w:hAnsi="宋体" w:eastAsia="宋体" w:cs="宋体"/>
          <w:spacing w:val="6"/>
          <w:position w:val="1"/>
          <w:sz w:val="24"/>
          <w:highlight w:val="none"/>
        </w:rPr>
      </w:pPr>
      <w:r>
        <w:rPr>
          <w:rFonts w:hint="eastAsia" w:ascii="宋体" w:hAnsi="宋体" w:eastAsia="宋体" w:cs="宋体"/>
          <w:spacing w:val="6"/>
          <w:position w:val="1"/>
          <w:sz w:val="24"/>
          <w:highlight w:val="none"/>
        </w:rPr>
        <w:t>7.如我方在响应过程中，发生招标文件规定的招标人可以不退还投标保证金的情形的，我方同意招标人不退还我方缴纳的全部投标保证金。</w:t>
      </w:r>
    </w:p>
    <w:p>
      <w:pPr>
        <w:spacing w:line="400" w:lineRule="exact"/>
        <w:ind w:firstLine="504" w:firstLineChars="200"/>
        <w:contextualSpacing/>
        <w:rPr>
          <w:rFonts w:ascii="宋体" w:hAnsi="宋体" w:eastAsia="宋体" w:cs="宋体"/>
          <w:sz w:val="24"/>
          <w:highlight w:val="none"/>
        </w:rPr>
      </w:pPr>
      <w:r>
        <w:rPr>
          <w:rFonts w:hint="eastAsia" w:ascii="宋体" w:hAnsi="宋体" w:eastAsia="宋体" w:cs="宋体"/>
          <w:spacing w:val="6"/>
          <w:position w:val="1"/>
          <w:sz w:val="24"/>
          <w:highlight w:val="none"/>
        </w:rPr>
        <w:t>8.</w:t>
      </w:r>
      <w:r>
        <w:rPr>
          <w:rFonts w:hint="eastAsia" w:ascii="宋体" w:hAnsi="宋体" w:eastAsia="宋体" w:cs="宋体"/>
          <w:sz w:val="24"/>
          <w:highlight w:val="none"/>
        </w:rPr>
        <w:t>（其他补充说明）。</w:t>
      </w:r>
    </w:p>
    <w:p>
      <w:pPr>
        <w:spacing w:line="400" w:lineRule="exact"/>
        <w:contextualSpacing/>
        <w:rPr>
          <w:rFonts w:ascii="宋体" w:hAnsi="宋体" w:eastAsia="宋体" w:cs="宋体"/>
          <w:sz w:val="24"/>
          <w:highlight w:val="none"/>
        </w:rPr>
      </w:pPr>
      <w:r>
        <w:rPr>
          <w:rFonts w:hint="eastAsia" w:ascii="宋体" w:hAnsi="宋体" w:eastAsia="宋体" w:cs="宋体"/>
          <w:sz w:val="24"/>
          <w:highlight w:val="none"/>
        </w:rPr>
        <w:t>投标人</w:t>
      </w:r>
      <w:r>
        <w:rPr>
          <w:rFonts w:hint="eastAsia" w:ascii="宋体" w:hAnsi="宋体" w:eastAsia="宋体" w:cs="宋体"/>
          <w:spacing w:val="-1"/>
          <w:sz w:val="24"/>
          <w:highlight w:val="none"/>
        </w:rPr>
        <w:t>：</w:t>
      </w:r>
      <w:r>
        <w:rPr>
          <w:rFonts w:hint="eastAsia" w:ascii="宋体" w:hAnsi="宋体" w:eastAsia="宋体" w:cs="宋体"/>
          <w:sz w:val="24"/>
          <w:highlight w:val="none"/>
        </w:rPr>
        <w:t>（盖单位公章）</w:t>
      </w:r>
    </w:p>
    <w:p>
      <w:pPr>
        <w:spacing w:line="400" w:lineRule="exact"/>
        <w:contextualSpacing/>
        <w:rPr>
          <w:rFonts w:ascii="宋体" w:hAnsi="宋体" w:eastAsia="宋体" w:cs="宋体"/>
          <w:sz w:val="24"/>
          <w:highlight w:val="none"/>
        </w:rPr>
      </w:pPr>
      <w:r>
        <w:rPr>
          <w:rFonts w:hint="eastAsia" w:ascii="宋体" w:hAnsi="宋体" w:eastAsia="宋体" w:cs="宋体"/>
          <w:sz w:val="24"/>
          <w:highlight w:val="none"/>
        </w:rPr>
        <w:t>法定代表人</w:t>
      </w:r>
      <w:r>
        <w:rPr>
          <w:rFonts w:hint="eastAsia" w:ascii="宋体" w:hAnsi="宋体" w:eastAsia="宋体" w:cs="宋体"/>
          <w:snapToGrid w:val="0"/>
          <w:kern w:val="0"/>
          <w:sz w:val="24"/>
          <w:highlight w:val="none"/>
        </w:rPr>
        <w:t>（负责人）</w:t>
      </w:r>
      <w:r>
        <w:rPr>
          <w:rFonts w:hint="eastAsia" w:ascii="宋体" w:hAnsi="宋体" w:eastAsia="宋体" w:cs="宋体"/>
          <w:sz w:val="24"/>
          <w:highlight w:val="none"/>
        </w:rPr>
        <w:t>或其委托代理人：（签字或盖章）</w:t>
      </w:r>
    </w:p>
    <w:p>
      <w:pPr>
        <w:spacing w:line="400" w:lineRule="exact"/>
        <w:contextualSpacing/>
        <w:rPr>
          <w:rFonts w:ascii="宋体" w:hAnsi="宋体" w:eastAsia="宋体" w:cs="宋体"/>
          <w:sz w:val="24"/>
          <w:highlight w:val="none"/>
        </w:rPr>
      </w:pPr>
      <w:r>
        <w:rPr>
          <w:rFonts w:hint="eastAsia" w:ascii="宋体" w:hAnsi="宋体" w:eastAsia="宋体" w:cs="宋体"/>
          <w:position w:val="15"/>
          <w:sz w:val="24"/>
          <w:highlight w:val="none"/>
        </w:rPr>
        <w:t xml:space="preserve">地   址 </w:t>
      </w:r>
      <w:r>
        <w:rPr>
          <w:rFonts w:hint="eastAsia" w:ascii="宋体" w:hAnsi="宋体" w:eastAsia="宋体" w:cs="宋体"/>
          <w:spacing w:val="-69"/>
          <w:position w:val="15"/>
          <w:sz w:val="24"/>
          <w:highlight w:val="none"/>
        </w:rPr>
        <w:t>：</w:t>
      </w:r>
    </w:p>
    <w:p>
      <w:pPr>
        <w:spacing w:line="400" w:lineRule="exact"/>
        <w:contextualSpacing/>
        <w:rPr>
          <w:rFonts w:ascii="宋体" w:hAnsi="宋体" w:eastAsia="宋体" w:cs="宋体"/>
          <w:sz w:val="24"/>
          <w:highlight w:val="none"/>
        </w:rPr>
      </w:pPr>
      <w:r>
        <w:rPr>
          <w:rFonts w:hint="eastAsia" w:ascii="宋体" w:hAnsi="宋体" w:eastAsia="宋体" w:cs="宋体"/>
          <w:spacing w:val="3"/>
          <w:sz w:val="24"/>
          <w:highlight w:val="none"/>
        </w:rPr>
        <w:t>邮政</w:t>
      </w:r>
      <w:r>
        <w:rPr>
          <w:rFonts w:hint="eastAsia" w:ascii="宋体" w:hAnsi="宋体" w:eastAsia="宋体" w:cs="宋体"/>
          <w:spacing w:val="2"/>
          <w:sz w:val="24"/>
          <w:highlight w:val="none"/>
        </w:rPr>
        <w:t>编码</w:t>
      </w:r>
      <w:r>
        <w:rPr>
          <w:rFonts w:hint="eastAsia" w:ascii="宋体" w:hAnsi="宋体" w:eastAsia="宋体" w:cs="宋体"/>
          <w:spacing w:val="4"/>
          <w:sz w:val="24"/>
          <w:highlight w:val="none"/>
        </w:rPr>
        <w:t>：</w:t>
      </w:r>
    </w:p>
    <w:p>
      <w:pPr>
        <w:spacing w:line="400" w:lineRule="exact"/>
        <w:contextualSpacing/>
        <w:rPr>
          <w:rFonts w:ascii="宋体" w:hAnsi="宋体" w:eastAsia="宋体" w:cs="宋体"/>
          <w:sz w:val="24"/>
          <w:highlight w:val="none"/>
        </w:rPr>
      </w:pPr>
      <w:r>
        <w:rPr>
          <w:rFonts w:hint="eastAsia" w:ascii="宋体" w:hAnsi="宋体" w:eastAsia="宋体" w:cs="宋体"/>
          <w:sz w:val="24"/>
          <w:highlight w:val="none"/>
        </w:rPr>
        <w:t xml:space="preserve">电    话 </w:t>
      </w:r>
      <w:r>
        <w:rPr>
          <w:rFonts w:hint="eastAsia" w:ascii="宋体" w:hAnsi="宋体" w:eastAsia="宋体" w:cs="宋体"/>
          <w:spacing w:val="-94"/>
          <w:sz w:val="24"/>
          <w:highlight w:val="none"/>
        </w:rPr>
        <w:t>：</w:t>
      </w:r>
    </w:p>
    <w:p>
      <w:pPr>
        <w:spacing w:line="400" w:lineRule="exact"/>
        <w:contextualSpacing/>
        <w:rPr>
          <w:rFonts w:ascii="宋体" w:hAnsi="宋体" w:eastAsia="宋体" w:cs="宋体"/>
          <w:sz w:val="24"/>
          <w:highlight w:val="none"/>
        </w:rPr>
      </w:pPr>
      <w:r>
        <w:rPr>
          <w:rFonts w:hint="eastAsia" w:ascii="宋体" w:hAnsi="宋体" w:eastAsia="宋体" w:cs="宋体"/>
          <w:sz w:val="24"/>
          <w:highlight w:val="none"/>
        </w:rPr>
        <w:t xml:space="preserve">传   真 </w:t>
      </w:r>
      <w:r>
        <w:rPr>
          <w:rFonts w:hint="eastAsia" w:ascii="宋体" w:hAnsi="宋体" w:eastAsia="宋体" w:cs="宋体"/>
          <w:spacing w:val="-67"/>
          <w:sz w:val="24"/>
          <w:highlight w:val="none"/>
        </w:rPr>
        <w:t>：</w:t>
      </w:r>
    </w:p>
    <w:p>
      <w:pPr>
        <w:spacing w:line="400" w:lineRule="exact"/>
        <w:contextualSpacing/>
        <w:rPr>
          <w:rFonts w:ascii="宋体" w:hAnsi="宋体" w:eastAsia="宋体" w:cs="宋体"/>
          <w:sz w:val="24"/>
          <w:highlight w:val="none"/>
        </w:rPr>
      </w:pPr>
      <w:r>
        <w:rPr>
          <w:rFonts w:hint="eastAsia" w:ascii="宋体" w:hAnsi="宋体" w:eastAsia="宋体" w:cs="宋体"/>
          <w:spacing w:val="6"/>
          <w:sz w:val="24"/>
          <w:highlight w:val="none"/>
        </w:rPr>
        <w:t>开</w:t>
      </w:r>
      <w:r>
        <w:rPr>
          <w:rFonts w:hint="eastAsia" w:ascii="宋体" w:hAnsi="宋体" w:eastAsia="宋体" w:cs="宋体"/>
          <w:spacing w:val="5"/>
          <w:sz w:val="24"/>
          <w:highlight w:val="none"/>
        </w:rPr>
        <w:t>户银行</w:t>
      </w:r>
      <w:r>
        <w:rPr>
          <w:rFonts w:hint="eastAsia" w:ascii="宋体" w:hAnsi="宋体" w:eastAsia="宋体" w:cs="宋体"/>
          <w:spacing w:val="7"/>
          <w:sz w:val="24"/>
          <w:highlight w:val="none"/>
        </w:rPr>
        <w:t>：</w:t>
      </w:r>
    </w:p>
    <w:p>
      <w:pPr>
        <w:spacing w:line="400" w:lineRule="exact"/>
        <w:contextualSpacing/>
        <w:rPr>
          <w:rFonts w:ascii="宋体" w:hAnsi="宋体" w:eastAsia="宋体" w:cs="宋体"/>
          <w:sz w:val="24"/>
          <w:highlight w:val="none"/>
        </w:rPr>
      </w:pPr>
      <w:r>
        <w:rPr>
          <w:rFonts w:hint="eastAsia" w:ascii="宋体" w:hAnsi="宋体" w:eastAsia="宋体" w:cs="宋体"/>
          <w:sz w:val="24"/>
          <w:highlight w:val="none"/>
        </w:rPr>
        <w:t xml:space="preserve">账   号 </w:t>
      </w:r>
      <w:r>
        <w:rPr>
          <w:rFonts w:hint="eastAsia" w:ascii="宋体" w:hAnsi="宋体" w:eastAsia="宋体" w:cs="宋体"/>
          <w:spacing w:val="-72"/>
          <w:sz w:val="24"/>
          <w:highlight w:val="none"/>
        </w:rPr>
        <w:t>：</w:t>
      </w:r>
    </w:p>
    <w:p>
      <w:pPr>
        <w:spacing w:line="400" w:lineRule="exact"/>
        <w:contextualSpacing/>
        <w:rPr>
          <w:rFonts w:ascii="宋体" w:hAnsi="宋体" w:eastAsia="宋体" w:cs="宋体"/>
          <w:sz w:val="24"/>
          <w:highlight w:val="none"/>
        </w:rPr>
      </w:pPr>
      <w:r>
        <w:rPr>
          <w:rFonts w:hint="eastAsia" w:ascii="宋体" w:hAnsi="宋体" w:eastAsia="宋体" w:cs="宋体"/>
          <w:sz w:val="24"/>
          <w:highlight w:val="none"/>
        </w:rPr>
        <w:t xml:space="preserve">日   期 </w:t>
      </w:r>
      <w:r>
        <w:rPr>
          <w:rFonts w:hint="eastAsia" w:ascii="宋体" w:hAnsi="宋体" w:eastAsia="宋体" w:cs="宋体"/>
          <w:spacing w:val="-1"/>
          <w:sz w:val="24"/>
          <w:highlight w:val="none"/>
        </w:rPr>
        <w:t>：</w:t>
      </w:r>
      <w:r>
        <w:rPr>
          <w:rFonts w:hint="eastAsia" w:ascii="宋体" w:hAnsi="宋体" w:eastAsia="宋体" w:cs="宋体"/>
          <w:sz w:val="24"/>
          <w:highlight w:val="none"/>
        </w:rPr>
        <w:t>年   月   日</w:t>
      </w:r>
    </w:p>
    <w:p>
      <w:pPr>
        <w:spacing w:line="400" w:lineRule="exact"/>
        <w:rPr>
          <w:rFonts w:ascii="宋体" w:hAnsi="宋体" w:eastAsia="宋体" w:cs="宋体"/>
          <w:sz w:val="24"/>
          <w:highlight w:val="none"/>
        </w:rPr>
        <w:sectPr>
          <w:headerReference r:id="rId9" w:type="default"/>
          <w:footerReference r:id="rId10" w:type="default"/>
          <w:footerReference r:id="rId11" w:type="even"/>
          <w:pgSz w:w="11906" w:h="16838"/>
          <w:pgMar w:top="1440" w:right="991" w:bottom="1440" w:left="1080" w:header="0" w:footer="714" w:gutter="0"/>
          <w:cols w:space="720" w:num="1"/>
          <w:docGrid w:linePitch="435" w:charSpace="0"/>
        </w:sectPr>
      </w:pPr>
    </w:p>
    <w:p>
      <w:pPr>
        <w:pStyle w:val="5"/>
        <w:spacing w:line="400" w:lineRule="exact"/>
        <w:jc w:val="center"/>
        <w:rPr>
          <w:rFonts w:cs="宋体"/>
          <w:bCs w:val="0"/>
          <w:sz w:val="24"/>
          <w:szCs w:val="24"/>
          <w:highlight w:val="none"/>
        </w:rPr>
      </w:pPr>
      <w:r>
        <w:rPr>
          <w:rFonts w:hint="eastAsia" w:cs="宋体"/>
          <w:bCs w:val="0"/>
          <w:sz w:val="24"/>
          <w:szCs w:val="24"/>
          <w:highlight w:val="none"/>
        </w:rPr>
        <w:t>二、投标报价明细表</w:t>
      </w:r>
    </w:p>
    <w:p>
      <w:pPr>
        <w:tabs>
          <w:tab w:val="left" w:pos="5940"/>
          <w:tab w:val="left" w:pos="8500"/>
        </w:tabs>
        <w:autoSpaceDE w:val="0"/>
        <w:autoSpaceDN w:val="0"/>
        <w:adjustRightInd w:val="0"/>
        <w:snapToGrid w:val="0"/>
        <w:spacing w:line="400" w:lineRule="exact"/>
        <w:ind w:right="-20"/>
        <w:rPr>
          <w:rFonts w:ascii="宋体" w:hAnsi="宋体" w:eastAsia="宋体" w:cs="宋体"/>
          <w:kern w:val="0"/>
          <w:sz w:val="24"/>
          <w:highlight w:val="none"/>
        </w:rPr>
      </w:pPr>
      <w:r>
        <w:rPr>
          <w:rFonts w:hint="eastAsia" w:ascii="宋体" w:hAnsi="宋体" w:eastAsia="宋体" w:cs="宋体"/>
          <w:i/>
          <w:sz w:val="24"/>
          <w:highlight w:val="none"/>
        </w:rPr>
        <w:tab/>
      </w:r>
      <w:r>
        <w:rPr>
          <w:rFonts w:hint="eastAsia" w:ascii="宋体" w:hAnsi="宋体" w:eastAsia="宋体" w:cs="宋体"/>
          <w:i/>
          <w:sz w:val="24"/>
          <w:highlight w:val="none"/>
        </w:rPr>
        <w:tab/>
      </w:r>
    </w:p>
    <w:p>
      <w:pPr>
        <w:tabs>
          <w:tab w:val="left" w:pos="2580"/>
          <w:tab w:val="left" w:pos="5940"/>
        </w:tabs>
        <w:autoSpaceDE w:val="0"/>
        <w:autoSpaceDN w:val="0"/>
        <w:adjustRightInd w:val="0"/>
        <w:snapToGrid w:val="0"/>
        <w:spacing w:line="400" w:lineRule="exact"/>
        <w:ind w:right="-20"/>
        <w:rPr>
          <w:rFonts w:ascii="宋体" w:hAnsi="宋体" w:eastAsia="宋体" w:cs="宋体"/>
          <w:kern w:val="0"/>
          <w:sz w:val="24"/>
          <w:highlight w:val="none"/>
          <w:u w:val="single"/>
        </w:rPr>
      </w:pPr>
      <w:r>
        <w:rPr>
          <w:rFonts w:hint="eastAsia" w:ascii="宋体" w:hAnsi="宋体" w:eastAsia="宋体" w:cs="宋体"/>
          <w:kern w:val="0"/>
          <w:sz w:val="24"/>
          <w:highlight w:val="none"/>
        </w:rPr>
        <w:t>项目名称：</w:t>
      </w:r>
      <w:r>
        <w:rPr>
          <w:rFonts w:hint="eastAsia" w:ascii="宋体" w:hAnsi="宋体" w:eastAsia="宋体" w:cs="宋体"/>
          <w:kern w:val="0"/>
          <w:sz w:val="24"/>
          <w:highlight w:val="none"/>
          <w:u w:val="single"/>
        </w:rPr>
        <w:t>2024-2026年度起重设备及抓斗维保采购项目</w:t>
      </w:r>
    </w:p>
    <w:p>
      <w:pPr>
        <w:snapToGrid w:val="0"/>
        <w:spacing w:line="400" w:lineRule="exact"/>
        <w:rPr>
          <w:rFonts w:ascii="宋体" w:hAnsi="宋体" w:eastAsia="宋体" w:cs="宋体"/>
          <w:kern w:val="0"/>
          <w:sz w:val="24"/>
          <w:highlight w:val="none"/>
          <w:u w:val="single"/>
        </w:rPr>
      </w:pPr>
      <w:r>
        <w:rPr>
          <w:rFonts w:hint="eastAsia" w:ascii="宋体" w:hAnsi="宋体" w:eastAsia="宋体" w:cs="宋体"/>
          <w:kern w:val="0"/>
          <w:sz w:val="24"/>
          <w:highlight w:val="none"/>
        </w:rPr>
        <w:t>招标编号：</w:t>
      </w:r>
      <w:r>
        <w:rPr>
          <w:rFonts w:hint="eastAsia" w:ascii="宋体" w:hAnsi="宋体" w:eastAsia="宋体" w:cs="宋体"/>
          <w:kern w:val="0"/>
          <w:sz w:val="24"/>
          <w:highlight w:val="none"/>
          <w:u w:val="single"/>
        </w:rPr>
        <w:t>NY-1FZB2410089</w:t>
      </w:r>
    </w:p>
    <w:p>
      <w:pPr>
        <w:snapToGrid w:val="0"/>
        <w:spacing w:line="400" w:lineRule="exact"/>
        <w:rPr>
          <w:rFonts w:ascii="宋体" w:hAnsi="宋体" w:eastAsia="宋体" w:cs="宋体"/>
          <w:kern w:val="0"/>
          <w:sz w:val="24"/>
          <w:highlight w:val="none"/>
          <w:u w:val="single"/>
        </w:rPr>
      </w:pPr>
    </w:p>
    <w:tbl>
      <w:tblPr>
        <w:tblStyle w:val="25"/>
        <w:tblW w:w="12894" w:type="dxa"/>
        <w:jc w:val="center"/>
        <w:tblLayout w:type="fixed"/>
        <w:tblCellMar>
          <w:top w:w="0" w:type="dxa"/>
          <w:left w:w="108" w:type="dxa"/>
          <w:bottom w:w="0" w:type="dxa"/>
          <w:right w:w="108" w:type="dxa"/>
        </w:tblCellMar>
      </w:tblPr>
      <w:tblGrid>
        <w:gridCol w:w="687"/>
        <w:gridCol w:w="4130"/>
        <w:gridCol w:w="3401"/>
        <w:gridCol w:w="1731"/>
        <w:gridCol w:w="2945"/>
      </w:tblGrid>
      <w:tr>
        <w:tblPrEx>
          <w:tblCellMar>
            <w:top w:w="0" w:type="dxa"/>
            <w:left w:w="108" w:type="dxa"/>
            <w:bottom w:w="0" w:type="dxa"/>
            <w:right w:w="108" w:type="dxa"/>
          </w:tblCellMar>
        </w:tblPrEx>
        <w:trPr>
          <w:trHeight w:val="93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序号</w:t>
            </w:r>
          </w:p>
        </w:tc>
        <w:tc>
          <w:tcPr>
            <w:tcW w:w="41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名称</w:t>
            </w:r>
          </w:p>
        </w:tc>
        <w:tc>
          <w:tcPr>
            <w:tcW w:w="34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要求</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服务期限</w:t>
            </w:r>
          </w:p>
        </w:tc>
        <w:tc>
          <w:tcPr>
            <w:tcW w:w="29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金额（元）</w:t>
            </w:r>
          </w:p>
        </w:tc>
      </w:tr>
      <w:tr>
        <w:tblPrEx>
          <w:tblCellMar>
            <w:top w:w="0" w:type="dxa"/>
            <w:left w:w="108" w:type="dxa"/>
            <w:bottom w:w="0" w:type="dxa"/>
            <w:right w:w="108" w:type="dxa"/>
          </w:tblCellMar>
        </w:tblPrEx>
        <w:trPr>
          <w:trHeight w:val="41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Theme="minorEastAsia" w:hAnsiTheme="minorEastAsia" w:eastAsiaTheme="minorEastAsia" w:cstheme="minorEastAsia"/>
                <w:sz w:val="24"/>
                <w:highlight w:val="none"/>
              </w:rPr>
            </w:pPr>
            <w:bookmarkStart w:id="117" w:name="OLE_LINK3" w:colFirst="3" w:colLast="4"/>
            <w:r>
              <w:rPr>
                <w:rFonts w:hint="eastAsia" w:asciiTheme="minorEastAsia" w:hAnsiTheme="minorEastAsia" w:eastAsiaTheme="minorEastAsia" w:cstheme="minorEastAsia"/>
                <w:sz w:val="24"/>
                <w:highlight w:val="none"/>
              </w:rPr>
              <w:t>1</w:t>
            </w:r>
          </w:p>
        </w:tc>
        <w:tc>
          <w:tcPr>
            <w:tcW w:w="41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起重设备及抓斗维保服务</w:t>
            </w:r>
          </w:p>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（能源）</w:t>
            </w:r>
          </w:p>
        </w:tc>
        <w:tc>
          <w:tcPr>
            <w:tcW w:w="34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具体详见招标人需求</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2年</w:t>
            </w:r>
          </w:p>
        </w:tc>
        <w:tc>
          <w:tcPr>
            <w:tcW w:w="29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p>
        </w:tc>
      </w:tr>
      <w:bookmarkEnd w:id="117"/>
      <w:tr>
        <w:tblPrEx>
          <w:tblCellMar>
            <w:top w:w="0" w:type="dxa"/>
            <w:left w:w="108" w:type="dxa"/>
            <w:bottom w:w="0" w:type="dxa"/>
            <w:right w:w="108" w:type="dxa"/>
          </w:tblCellMar>
        </w:tblPrEx>
        <w:trPr>
          <w:trHeight w:val="41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41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起重设备及抓斗维保服务</w:t>
            </w:r>
          </w:p>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（三固）</w:t>
            </w:r>
          </w:p>
        </w:tc>
        <w:tc>
          <w:tcPr>
            <w:tcW w:w="34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具体详见招标人需求</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2年</w:t>
            </w:r>
          </w:p>
        </w:tc>
        <w:tc>
          <w:tcPr>
            <w:tcW w:w="29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615" w:hRule="atLeast"/>
          <w:jc w:val="center"/>
        </w:trPr>
        <w:tc>
          <w:tcPr>
            <w:tcW w:w="48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报价合计（小写）</w:t>
            </w:r>
          </w:p>
        </w:tc>
        <w:tc>
          <w:tcPr>
            <w:tcW w:w="80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615" w:hRule="atLeast"/>
          <w:jc w:val="center"/>
        </w:trPr>
        <w:tc>
          <w:tcPr>
            <w:tcW w:w="48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报价合计（大写）</w:t>
            </w:r>
          </w:p>
        </w:tc>
        <w:tc>
          <w:tcPr>
            <w:tcW w:w="80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p>
        </w:tc>
      </w:tr>
      <w:tr>
        <w:tblPrEx>
          <w:tblCellMar>
            <w:top w:w="0" w:type="dxa"/>
            <w:left w:w="108" w:type="dxa"/>
            <w:bottom w:w="0" w:type="dxa"/>
            <w:right w:w="108" w:type="dxa"/>
          </w:tblCellMar>
        </w:tblPrEx>
        <w:trPr>
          <w:trHeight w:val="615" w:hRule="atLeast"/>
          <w:jc w:val="center"/>
        </w:trPr>
        <w:tc>
          <w:tcPr>
            <w:tcW w:w="48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税率</w:t>
            </w:r>
          </w:p>
        </w:tc>
        <w:tc>
          <w:tcPr>
            <w:tcW w:w="80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w:t>
            </w:r>
          </w:p>
        </w:tc>
      </w:tr>
    </w:tbl>
    <w:p>
      <w:pPr>
        <w:tabs>
          <w:tab w:val="left" w:pos="180"/>
          <w:tab w:val="left" w:pos="900"/>
        </w:tabs>
        <w:spacing w:line="400" w:lineRule="exact"/>
        <w:ind w:right="420"/>
        <w:rPr>
          <w:rFonts w:ascii="宋体" w:hAnsi="宋体" w:eastAsia="宋体" w:cs="宋体"/>
          <w:sz w:val="24"/>
          <w:highlight w:val="none"/>
        </w:rPr>
      </w:pPr>
      <w:r>
        <w:rPr>
          <w:rFonts w:hint="eastAsia" w:ascii="宋体" w:hAnsi="宋体" w:eastAsia="宋体" w:cs="宋体"/>
          <w:sz w:val="24"/>
          <w:highlight w:val="none"/>
        </w:rPr>
        <w:t>注：1.投标人需按本表格式填写，</w:t>
      </w:r>
      <w:r>
        <w:rPr>
          <w:rFonts w:hint="eastAsia" w:ascii="宋体" w:hAnsi="宋体" w:eastAsia="宋体" w:cs="宋体"/>
          <w:sz w:val="24"/>
          <w:highlight w:val="none"/>
          <w:lang w:val="zh-CN"/>
        </w:rPr>
        <w:t>栏数不够可自加</w:t>
      </w:r>
      <w:r>
        <w:rPr>
          <w:rFonts w:hint="eastAsia" w:ascii="宋体" w:hAnsi="宋体" w:eastAsia="宋体" w:cs="宋体"/>
          <w:sz w:val="24"/>
          <w:highlight w:val="none"/>
        </w:rPr>
        <w:t>。</w:t>
      </w:r>
    </w:p>
    <w:p>
      <w:pPr>
        <w:tabs>
          <w:tab w:val="left" w:pos="180"/>
          <w:tab w:val="left" w:pos="900"/>
        </w:tabs>
        <w:spacing w:line="400" w:lineRule="exact"/>
        <w:ind w:firstLine="464" w:firstLineChars="200"/>
        <w:rPr>
          <w:rFonts w:ascii="宋体" w:hAnsi="宋体" w:eastAsia="宋体" w:cs="宋体"/>
          <w:snapToGrid w:val="0"/>
          <w:sz w:val="24"/>
          <w:highlight w:val="none"/>
        </w:rPr>
      </w:pPr>
      <w:r>
        <w:rPr>
          <w:rFonts w:hint="eastAsia" w:ascii="宋体" w:hAnsi="宋体" w:eastAsia="宋体" w:cs="宋体"/>
          <w:sz w:val="24"/>
          <w:highlight w:val="none"/>
        </w:rPr>
        <w:t>2.本次报价包括了完成本合同所需的所有费用，包括但不限于货物、食宿费、保险费、包装费、拆旧费、安装费、人工费、税费、管理费、利润、风险费等。投标人应充分考虑成本，合理报价，招标人不再另行追加任何费用。</w:t>
      </w:r>
    </w:p>
    <w:p>
      <w:pPr>
        <w:pStyle w:val="13"/>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投标人（盖公章）：</w:t>
      </w:r>
    </w:p>
    <w:p>
      <w:pPr>
        <w:pStyle w:val="13"/>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 xml:space="preserve">法定代表人（负责人）或其委托代理人（签字或盖章）：          </w:t>
      </w:r>
    </w:p>
    <w:p>
      <w:pPr>
        <w:pStyle w:val="13"/>
        <w:snapToGrid w:val="0"/>
        <w:spacing w:line="400" w:lineRule="exact"/>
        <w:rPr>
          <w:rFonts w:hAnsi="宋体" w:cs="宋体"/>
          <w:sz w:val="24"/>
          <w:szCs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bookmarkStart w:id="118" w:name="_Toc30796"/>
    </w:p>
    <w:p>
      <w:pPr>
        <w:pStyle w:val="5"/>
        <w:numPr>
          <w:ilvl w:val="255"/>
          <w:numId w:val="0"/>
        </w:numPr>
        <w:spacing w:line="400" w:lineRule="exact"/>
        <w:jc w:val="both"/>
        <w:rPr>
          <w:rFonts w:cs="宋体"/>
          <w:b w:val="0"/>
          <w:bCs w:val="0"/>
          <w:sz w:val="24"/>
          <w:szCs w:val="24"/>
          <w:highlight w:val="none"/>
        </w:rPr>
        <w:sectPr>
          <w:headerReference r:id="rId12" w:type="default"/>
          <w:footerReference r:id="rId14" w:type="default"/>
          <w:headerReference r:id="rId13" w:type="even"/>
          <w:footerReference r:id="rId15" w:type="even"/>
          <w:pgSz w:w="16838" w:h="11906" w:orient="landscape"/>
          <w:pgMar w:top="1587" w:right="2098" w:bottom="1474" w:left="1985" w:header="851" w:footer="737" w:gutter="0"/>
          <w:cols w:space="0" w:num="1"/>
          <w:docGrid w:type="linesAndChars" w:linePitch="589" w:charSpace="-1683"/>
        </w:sectPr>
      </w:pPr>
      <w:bookmarkStart w:id="119" w:name="_Toc27321"/>
      <w:bookmarkStart w:id="120" w:name="_Toc83886045"/>
    </w:p>
    <w:p>
      <w:pPr>
        <w:pStyle w:val="5"/>
        <w:numPr>
          <w:ilvl w:val="255"/>
          <w:numId w:val="0"/>
        </w:numPr>
        <w:spacing w:line="400" w:lineRule="exact"/>
        <w:jc w:val="center"/>
        <w:rPr>
          <w:rFonts w:cs="宋体"/>
          <w:bCs w:val="0"/>
          <w:sz w:val="24"/>
          <w:szCs w:val="24"/>
          <w:highlight w:val="none"/>
        </w:rPr>
      </w:pPr>
      <w:r>
        <w:rPr>
          <w:rFonts w:hint="eastAsia" w:cs="宋体"/>
          <w:b w:val="0"/>
          <w:bCs w:val="0"/>
          <w:sz w:val="24"/>
          <w:szCs w:val="24"/>
          <w:highlight w:val="none"/>
        </w:rPr>
        <w:t>三、</w:t>
      </w:r>
      <w:r>
        <w:rPr>
          <w:rFonts w:hint="eastAsia" w:cs="宋体"/>
          <w:bCs w:val="0"/>
          <w:sz w:val="24"/>
          <w:szCs w:val="24"/>
          <w:highlight w:val="none"/>
        </w:rPr>
        <w:t>法定代表人身份证明或</w:t>
      </w:r>
    </w:p>
    <w:p>
      <w:pPr>
        <w:pStyle w:val="5"/>
        <w:numPr>
          <w:ilvl w:val="255"/>
          <w:numId w:val="0"/>
        </w:numPr>
        <w:spacing w:line="400" w:lineRule="exact"/>
        <w:jc w:val="center"/>
        <w:rPr>
          <w:rFonts w:cs="宋体"/>
          <w:bCs w:val="0"/>
          <w:sz w:val="24"/>
          <w:szCs w:val="24"/>
          <w:highlight w:val="none"/>
        </w:rPr>
      </w:pPr>
      <w:r>
        <w:rPr>
          <w:rFonts w:hint="eastAsia" w:cs="宋体"/>
          <w:bCs w:val="0"/>
          <w:sz w:val="24"/>
          <w:szCs w:val="24"/>
          <w:highlight w:val="none"/>
        </w:rPr>
        <w:t>附有法定代表人和委托代理人身份证明的授权委托书</w:t>
      </w:r>
    </w:p>
    <w:p>
      <w:pPr>
        <w:snapToGrid w:val="0"/>
        <w:spacing w:line="400" w:lineRule="exact"/>
        <w:jc w:val="center"/>
        <w:rPr>
          <w:rFonts w:ascii="宋体" w:hAnsi="宋体" w:eastAsia="宋体" w:cs="宋体"/>
          <w:b/>
          <w:bCs/>
          <w:sz w:val="24"/>
          <w:highlight w:val="none"/>
        </w:rPr>
      </w:pPr>
    </w:p>
    <w:p>
      <w:pPr>
        <w:snapToGrid w:val="0"/>
        <w:spacing w:line="400" w:lineRule="exact"/>
        <w:jc w:val="center"/>
        <w:rPr>
          <w:rFonts w:ascii="宋体" w:hAnsi="宋体" w:eastAsia="宋体" w:cs="宋体"/>
          <w:sz w:val="24"/>
          <w:highlight w:val="none"/>
        </w:rPr>
      </w:pPr>
      <w:r>
        <w:rPr>
          <w:rFonts w:hint="eastAsia" w:ascii="宋体" w:hAnsi="宋体" w:eastAsia="宋体" w:cs="宋体"/>
          <w:b/>
          <w:bCs/>
          <w:sz w:val="24"/>
          <w:highlight w:val="none"/>
        </w:rPr>
        <w:t>法定代表人身份证明</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投标人名称：</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单位性质：</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地址：</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成立时间：年月日</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经营期限：</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姓名：性别：年龄：职务：</w:t>
      </w:r>
    </w:p>
    <w:p>
      <w:pPr>
        <w:snapToGrid w:val="0"/>
        <w:spacing w:line="400" w:lineRule="exact"/>
        <w:rPr>
          <w:rFonts w:ascii="宋体" w:hAnsi="宋体" w:eastAsia="宋体" w:cs="宋体"/>
          <w:sz w:val="24"/>
          <w:highlight w:val="none"/>
          <w:u w:val="single"/>
        </w:rPr>
      </w:pPr>
      <w:r>
        <w:rPr>
          <w:rFonts w:hint="eastAsia" w:ascii="宋体" w:hAnsi="宋体" w:eastAsia="宋体" w:cs="宋体"/>
          <w:sz w:val="24"/>
          <w:highlight w:val="none"/>
        </w:rPr>
        <w:t>身份证号码： 联系电话：</w:t>
      </w:r>
    </w:p>
    <w:p>
      <w:pPr>
        <w:snapToGrid w:val="0"/>
        <w:spacing w:line="400" w:lineRule="exact"/>
        <w:ind w:firstLine="560"/>
        <w:rPr>
          <w:rFonts w:ascii="宋体" w:hAnsi="宋体" w:eastAsia="宋体" w:cs="宋体"/>
          <w:sz w:val="24"/>
          <w:highlight w:val="none"/>
        </w:rPr>
      </w:pPr>
    </w:p>
    <w:p>
      <w:pPr>
        <w:snapToGrid w:val="0"/>
        <w:spacing w:line="400" w:lineRule="exact"/>
        <w:rPr>
          <w:rFonts w:ascii="宋体" w:hAnsi="宋体" w:eastAsia="宋体" w:cs="宋体"/>
          <w:sz w:val="24"/>
          <w:highlight w:val="none"/>
        </w:rPr>
      </w:pPr>
      <w:r>
        <w:rPr>
          <w:rFonts w:hint="eastAsia" w:ascii="宋体" w:hAnsi="宋体" w:eastAsia="宋体" w:cs="宋体"/>
          <w:sz w:val="24"/>
          <w:highlight w:val="none"/>
        </w:rPr>
        <w:t>系</w:t>
      </w:r>
      <w:r>
        <w:rPr>
          <w:rFonts w:hint="eastAsia" w:ascii="宋体" w:hAnsi="宋体" w:eastAsia="宋体" w:cs="宋体"/>
          <w:sz w:val="24"/>
          <w:highlight w:val="none"/>
          <w:u w:val="single"/>
        </w:rPr>
        <w:t xml:space="preserve">                              （投标人名称）</w:t>
      </w:r>
      <w:r>
        <w:rPr>
          <w:rFonts w:hint="eastAsia" w:ascii="宋体" w:hAnsi="宋体" w:eastAsia="宋体" w:cs="宋体"/>
          <w:sz w:val="24"/>
          <w:highlight w:val="none"/>
        </w:rPr>
        <w:t>的法定代表人。</w:t>
      </w:r>
    </w:p>
    <w:p>
      <w:pPr>
        <w:snapToGrid w:val="0"/>
        <w:spacing w:line="400" w:lineRule="exact"/>
        <w:ind w:firstLine="560"/>
        <w:rPr>
          <w:rFonts w:ascii="宋体" w:hAnsi="宋体" w:eastAsia="宋体" w:cs="宋体"/>
          <w:sz w:val="24"/>
          <w:highlight w:val="none"/>
        </w:rPr>
      </w:pPr>
    </w:p>
    <w:p>
      <w:pPr>
        <w:snapToGrid w:val="0"/>
        <w:spacing w:line="400" w:lineRule="exact"/>
        <w:rPr>
          <w:rFonts w:ascii="宋体" w:hAnsi="宋体" w:eastAsia="宋体" w:cs="宋体"/>
          <w:sz w:val="24"/>
          <w:highlight w:val="none"/>
        </w:rPr>
      </w:pPr>
      <w:r>
        <w:rPr>
          <w:rFonts w:hint="eastAsia" w:ascii="宋体" w:hAnsi="宋体" w:eastAsia="宋体" w:cs="宋体"/>
          <w:sz w:val="24"/>
          <w:highlight w:val="none"/>
        </w:rPr>
        <w:t>特此证明。</w:t>
      </w:r>
    </w:p>
    <w:p>
      <w:pPr>
        <w:snapToGrid w:val="0"/>
        <w:spacing w:line="400" w:lineRule="exact"/>
        <w:rPr>
          <w:rFonts w:ascii="宋体" w:hAnsi="宋体" w:eastAsia="宋体" w:cs="宋体"/>
          <w:sz w:val="24"/>
          <w:highlight w:val="none"/>
        </w:rPr>
      </w:pPr>
      <w:r>
        <w:rPr>
          <w:rFonts w:hint="eastAsia" w:ascii="宋体" w:hAnsi="宋体" w:eastAsia="宋体" w:cs="宋体"/>
          <w:sz w:val="24"/>
          <w:highlight w:val="none"/>
        </w:rPr>
        <w:t>附：法定代表人身份证复印件</w:t>
      </w:r>
    </w:p>
    <w:p>
      <w:pPr>
        <w:snapToGrid w:val="0"/>
        <w:spacing w:line="400" w:lineRule="exact"/>
        <w:ind w:firstLine="6986" w:firstLineChars="2960"/>
        <w:rPr>
          <w:rFonts w:ascii="宋体" w:hAnsi="宋体" w:eastAsia="宋体" w:cs="宋体"/>
          <w:sz w:val="24"/>
          <w:highlight w:val="none"/>
        </w:rPr>
      </w:pPr>
      <w:r>
        <w:rPr>
          <w:rFonts w:hint="eastAsia" w:ascii="宋体" w:hAnsi="宋体" w:eastAsia="宋体" w:cs="宋体"/>
          <w:sz w:val="24"/>
          <w:highlight w:val="none"/>
        </w:rPr>
        <w:t xml:space="preserve">投标人：（盖单位公章） </w:t>
      </w:r>
    </w:p>
    <w:p>
      <w:pPr>
        <w:snapToGrid w:val="0"/>
        <w:spacing w:line="400" w:lineRule="exact"/>
        <w:ind w:firstLine="6986" w:firstLineChars="2960"/>
        <w:rPr>
          <w:rFonts w:ascii="宋体" w:hAnsi="宋体" w:eastAsia="宋体" w:cs="宋体"/>
          <w:sz w:val="24"/>
          <w:highlight w:val="none"/>
        </w:rPr>
      </w:pPr>
      <w:r>
        <w:rPr>
          <w:rFonts w:hint="eastAsia" w:ascii="宋体" w:hAnsi="宋体" w:eastAsia="宋体" w:cs="宋体"/>
          <w:sz w:val="24"/>
          <w:highlight w:val="none"/>
        </w:rPr>
        <w:t>日期：      年    月    日</w:t>
      </w:r>
    </w:p>
    <w:tbl>
      <w:tblPr>
        <w:tblStyle w:val="25"/>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法定代表人身份证复印件粘贴处（正、反面）</w:t>
            </w:r>
          </w:p>
        </w:tc>
      </w:tr>
    </w:tbl>
    <w:p>
      <w:pPr>
        <w:spacing w:line="400" w:lineRule="exact"/>
        <w:rPr>
          <w:rFonts w:ascii="宋体" w:hAnsi="宋体" w:eastAsia="宋体" w:cs="宋体"/>
          <w:b/>
          <w:sz w:val="24"/>
          <w:highlight w:val="none"/>
        </w:rPr>
      </w:pPr>
      <w:r>
        <w:rPr>
          <w:rFonts w:hint="eastAsia" w:ascii="宋体" w:hAnsi="宋体" w:eastAsia="宋体" w:cs="宋体"/>
          <w:b/>
          <w:sz w:val="24"/>
          <w:highlight w:val="none"/>
        </w:rPr>
        <w:t>注：法定代表人参加开标的，须携带本人身份证或驾驶证或公安机关出具的临时身份证明或港澳台胞证或护照原件（其他诸如市民卡等无效）和法定代表人身份证明原件。</w:t>
      </w:r>
    </w:p>
    <w:p>
      <w:pPr>
        <w:spacing w:afterLines="50" w:line="400" w:lineRule="exact"/>
        <w:jc w:val="center"/>
        <w:rPr>
          <w:rFonts w:ascii="宋体" w:hAnsi="宋体" w:eastAsia="宋体" w:cs="宋体"/>
          <w:b/>
          <w:bCs/>
          <w:sz w:val="24"/>
          <w:highlight w:val="none"/>
        </w:rPr>
      </w:pPr>
      <w:r>
        <w:rPr>
          <w:rFonts w:hint="eastAsia" w:ascii="宋体" w:hAnsi="宋体" w:eastAsia="宋体" w:cs="宋体"/>
          <w:sz w:val="24"/>
          <w:highlight w:val="none"/>
        </w:rPr>
        <w:br w:type="page"/>
      </w:r>
      <w:r>
        <w:rPr>
          <w:rFonts w:hint="eastAsia" w:ascii="宋体" w:hAnsi="宋体" w:eastAsia="宋体" w:cs="宋体"/>
          <w:b/>
          <w:bCs/>
          <w:sz w:val="24"/>
          <w:highlight w:val="none"/>
        </w:rPr>
        <w:t>授权委托书</w:t>
      </w:r>
    </w:p>
    <w:p>
      <w:pPr>
        <w:spacing w:line="400" w:lineRule="exact"/>
        <w:ind w:firstLine="472" w:firstLineChars="200"/>
        <w:rPr>
          <w:rFonts w:ascii="宋体" w:hAnsi="宋体" w:eastAsia="宋体" w:cs="宋体"/>
          <w:sz w:val="24"/>
          <w:highlight w:val="none"/>
        </w:rPr>
      </w:pPr>
    </w:p>
    <w:p>
      <w:pPr>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本人（姓名）系</w:t>
      </w:r>
      <w:r>
        <w:rPr>
          <w:rFonts w:hint="eastAsia" w:ascii="宋体" w:hAnsi="宋体" w:eastAsia="宋体" w:cs="宋体"/>
          <w:sz w:val="24"/>
          <w:highlight w:val="none"/>
          <w:u w:val="single"/>
        </w:rPr>
        <w:t xml:space="preserve">                         （投标人名称）</w:t>
      </w:r>
      <w:r>
        <w:rPr>
          <w:rFonts w:hint="eastAsia" w:ascii="宋体" w:hAnsi="宋体" w:eastAsia="宋体" w:cs="宋体"/>
          <w:sz w:val="24"/>
          <w:highlight w:val="none"/>
        </w:rPr>
        <w:t>的法定代表人（负责人），现委托（姓名）为我方代理人（联系电话：）。代理人根据授权，以我方名义签署、澄清、说明、补正、递交、撤回、修改</w:t>
      </w:r>
      <w:r>
        <w:rPr>
          <w:rFonts w:hint="eastAsia" w:ascii="宋体" w:hAnsi="宋体" w:eastAsia="宋体" w:cs="宋体"/>
          <w:sz w:val="24"/>
          <w:highlight w:val="none"/>
          <w:u w:val="single"/>
        </w:rPr>
        <w:t>2024-2026年度起重设备及抓斗维保采购项目</w:t>
      </w:r>
      <w:r>
        <w:rPr>
          <w:rFonts w:hint="eastAsia" w:ascii="宋体" w:hAnsi="宋体" w:eastAsia="宋体" w:cs="宋体"/>
          <w:sz w:val="24"/>
          <w:highlight w:val="none"/>
        </w:rPr>
        <w:t>投标文件、签订合同和处理有关事宜，其法律后果由我方承担。</w:t>
      </w:r>
    </w:p>
    <w:p>
      <w:pPr>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代理人无转委托权。</w:t>
      </w:r>
    </w:p>
    <w:p>
      <w:pPr>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附：委托代理人身份证复印件</w:t>
      </w:r>
    </w:p>
    <w:p>
      <w:pPr>
        <w:spacing w:line="400" w:lineRule="exact"/>
        <w:rPr>
          <w:rFonts w:ascii="宋体" w:hAnsi="宋体" w:eastAsia="宋体" w:cs="宋体"/>
          <w:sz w:val="24"/>
          <w:highlight w:val="none"/>
        </w:rPr>
      </w:pPr>
    </w:p>
    <w:p>
      <w:pPr>
        <w:spacing w:line="400" w:lineRule="exact"/>
        <w:rPr>
          <w:rFonts w:ascii="宋体" w:hAnsi="宋体" w:eastAsia="宋体" w:cs="宋体"/>
          <w:sz w:val="24"/>
          <w:highlight w:val="none"/>
        </w:rPr>
      </w:pPr>
      <w:r>
        <w:rPr>
          <w:rFonts w:hint="eastAsia" w:ascii="宋体" w:hAnsi="宋体" w:eastAsia="宋体" w:cs="宋体"/>
          <w:sz w:val="24"/>
          <w:highlight w:val="none"/>
        </w:rPr>
        <w:t>投标人：（盖单位公章）</w:t>
      </w:r>
    </w:p>
    <w:p>
      <w:pPr>
        <w:spacing w:line="400" w:lineRule="exact"/>
        <w:rPr>
          <w:rFonts w:ascii="宋体" w:hAnsi="宋体" w:eastAsia="宋体" w:cs="宋体"/>
          <w:sz w:val="24"/>
          <w:highlight w:val="none"/>
        </w:rPr>
      </w:pPr>
      <w:r>
        <w:rPr>
          <w:rFonts w:hint="eastAsia" w:ascii="宋体" w:hAnsi="宋体" w:eastAsia="宋体" w:cs="宋体"/>
          <w:sz w:val="24"/>
          <w:highlight w:val="none"/>
        </w:rPr>
        <w:t>法定代表人（负责人）：（签字或盖章）</w:t>
      </w:r>
    </w:p>
    <w:p>
      <w:pPr>
        <w:spacing w:line="400" w:lineRule="exact"/>
        <w:rPr>
          <w:rFonts w:ascii="宋体" w:hAnsi="宋体" w:eastAsia="宋体" w:cs="宋体"/>
          <w:sz w:val="24"/>
          <w:highlight w:val="none"/>
        </w:rPr>
      </w:pPr>
      <w:r>
        <w:rPr>
          <w:rFonts w:hint="eastAsia" w:ascii="宋体" w:hAnsi="宋体" w:eastAsia="宋体" w:cs="宋体"/>
          <w:sz w:val="24"/>
          <w:highlight w:val="none"/>
        </w:rPr>
        <w:t>身份证号码：</w:t>
      </w:r>
    </w:p>
    <w:p>
      <w:pPr>
        <w:spacing w:line="400" w:lineRule="exact"/>
        <w:rPr>
          <w:rFonts w:ascii="宋体" w:hAnsi="宋体" w:eastAsia="宋体" w:cs="宋体"/>
          <w:sz w:val="24"/>
          <w:highlight w:val="none"/>
        </w:rPr>
      </w:pPr>
    </w:p>
    <w:p>
      <w:pPr>
        <w:spacing w:line="400" w:lineRule="exact"/>
        <w:rPr>
          <w:rFonts w:ascii="宋体" w:hAnsi="宋体" w:eastAsia="宋体" w:cs="宋体"/>
          <w:sz w:val="24"/>
          <w:highlight w:val="none"/>
        </w:rPr>
      </w:pPr>
      <w:r>
        <w:rPr>
          <w:rFonts w:hint="eastAsia" w:ascii="宋体" w:hAnsi="宋体" w:eastAsia="宋体" w:cs="宋体"/>
          <w:sz w:val="24"/>
          <w:highlight w:val="none"/>
        </w:rPr>
        <w:t>委托的代理人：（签字或盖章）</w:t>
      </w:r>
    </w:p>
    <w:p>
      <w:pPr>
        <w:spacing w:line="400" w:lineRule="exact"/>
        <w:rPr>
          <w:rFonts w:ascii="宋体" w:hAnsi="宋体" w:eastAsia="宋体" w:cs="宋体"/>
          <w:sz w:val="24"/>
          <w:highlight w:val="none"/>
        </w:rPr>
      </w:pPr>
      <w:r>
        <w:rPr>
          <w:rFonts w:hint="eastAsia" w:ascii="宋体" w:hAnsi="宋体" w:eastAsia="宋体" w:cs="宋体"/>
          <w:sz w:val="24"/>
          <w:highlight w:val="none"/>
        </w:rPr>
        <w:t>身份证号码：</w:t>
      </w:r>
    </w:p>
    <w:p>
      <w:pPr>
        <w:snapToGrid w:val="0"/>
        <w:spacing w:line="400" w:lineRule="exact"/>
        <w:ind w:firstLine="4956" w:firstLineChars="2100"/>
        <w:rPr>
          <w:rFonts w:ascii="宋体" w:hAnsi="宋体" w:eastAsia="宋体" w:cs="宋体"/>
          <w:sz w:val="24"/>
          <w:highlight w:val="none"/>
        </w:rPr>
      </w:pPr>
      <w:r>
        <w:rPr>
          <w:rFonts w:hint="eastAsia" w:ascii="宋体" w:hAnsi="宋体" w:eastAsia="宋体" w:cs="宋体"/>
          <w:sz w:val="24"/>
          <w:highlight w:val="none"/>
        </w:rPr>
        <w:t>日期：      年    月    日</w:t>
      </w:r>
    </w:p>
    <w:tbl>
      <w:tblPr>
        <w:tblStyle w:val="25"/>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委托代理人身份证复印件粘贴处（正、反面）</w:t>
            </w:r>
          </w:p>
        </w:tc>
      </w:tr>
    </w:tbl>
    <w:p>
      <w:pPr>
        <w:spacing w:line="400" w:lineRule="exact"/>
        <w:rPr>
          <w:rFonts w:ascii="宋体" w:hAnsi="宋体" w:eastAsia="宋体" w:cs="宋体"/>
          <w:b/>
          <w:sz w:val="24"/>
          <w:highlight w:val="none"/>
        </w:rPr>
      </w:pPr>
      <w:r>
        <w:rPr>
          <w:rFonts w:hint="eastAsia" w:ascii="宋体" w:hAnsi="宋体" w:eastAsia="宋体" w:cs="宋体"/>
          <w:b/>
          <w:sz w:val="24"/>
          <w:highlight w:val="none"/>
        </w:rPr>
        <w:t>注：1、如投标文件由委托代理人签字或盖章的，</w:t>
      </w:r>
      <w:r>
        <w:rPr>
          <w:rFonts w:hint="eastAsia" w:ascii="宋体" w:hAnsi="宋体" w:eastAsia="宋体" w:cs="宋体"/>
          <w:b/>
          <w:sz w:val="24"/>
          <w:highlight w:val="none"/>
          <w:u w:val="single"/>
        </w:rPr>
        <w:t>投标文件必须附此授权委托书和法定代表人身份证明</w:t>
      </w:r>
      <w:r>
        <w:rPr>
          <w:rFonts w:hint="eastAsia" w:ascii="宋体" w:hAnsi="宋体" w:eastAsia="宋体" w:cs="宋体"/>
          <w:b/>
          <w:sz w:val="24"/>
          <w:highlight w:val="none"/>
        </w:rPr>
        <w:t>。</w:t>
      </w:r>
    </w:p>
    <w:p>
      <w:pPr>
        <w:spacing w:line="400" w:lineRule="exact"/>
        <w:rPr>
          <w:rFonts w:ascii="宋体" w:hAnsi="宋体" w:eastAsia="宋体" w:cs="宋体"/>
          <w:b/>
          <w:kern w:val="0"/>
          <w:sz w:val="24"/>
          <w:highlight w:val="none"/>
        </w:rPr>
      </w:pPr>
      <w:r>
        <w:rPr>
          <w:rFonts w:hint="eastAsia" w:ascii="宋体" w:hAnsi="宋体" w:eastAsia="宋体" w:cs="宋体"/>
          <w:b/>
          <w:sz w:val="24"/>
          <w:highlight w:val="none"/>
        </w:rPr>
        <w:t>2、</w:t>
      </w:r>
      <w:r>
        <w:rPr>
          <w:rFonts w:hint="eastAsia" w:ascii="宋体" w:hAnsi="宋体" w:eastAsia="宋体" w:cs="宋体"/>
          <w:b/>
          <w:kern w:val="0"/>
          <w:sz w:val="24"/>
          <w:highlight w:val="none"/>
        </w:rPr>
        <w:t>委托代理人参加开标的，须携带本人身份证或驾驶证或公安机关出具的临时身份证明或港澳台胞证或护照原件（其他诸如市民卡等无效）、法定代表人身份证明和授权委托书原件。</w:t>
      </w:r>
    </w:p>
    <w:p>
      <w:pPr>
        <w:snapToGrid w:val="0"/>
        <w:spacing w:line="400" w:lineRule="exact"/>
        <w:jc w:val="center"/>
        <w:outlineLvl w:val="2"/>
        <w:rPr>
          <w:rFonts w:ascii="宋体" w:hAnsi="宋体" w:eastAsia="宋体" w:cs="宋体"/>
          <w:b/>
          <w:bCs/>
          <w:sz w:val="24"/>
          <w:highlight w:val="none"/>
        </w:rPr>
      </w:pPr>
    </w:p>
    <w:p>
      <w:pPr>
        <w:snapToGrid w:val="0"/>
        <w:spacing w:line="400" w:lineRule="exact"/>
        <w:jc w:val="center"/>
        <w:outlineLvl w:val="2"/>
        <w:rPr>
          <w:rFonts w:ascii="宋体" w:hAnsi="宋体" w:eastAsia="宋体" w:cs="宋体"/>
          <w:b/>
          <w:bCs/>
          <w:sz w:val="24"/>
          <w:highlight w:val="none"/>
        </w:rPr>
      </w:pPr>
    </w:p>
    <w:p>
      <w:pPr>
        <w:snapToGrid w:val="0"/>
        <w:spacing w:line="400" w:lineRule="exact"/>
        <w:jc w:val="center"/>
        <w:outlineLvl w:val="2"/>
        <w:rPr>
          <w:rFonts w:ascii="宋体" w:hAnsi="宋体" w:eastAsia="宋体" w:cs="宋体"/>
          <w:b/>
          <w:bCs/>
          <w:sz w:val="24"/>
          <w:highlight w:val="none"/>
        </w:rPr>
      </w:pPr>
      <w:r>
        <w:rPr>
          <w:rFonts w:hint="eastAsia" w:ascii="宋体" w:hAnsi="宋体" w:eastAsia="宋体" w:cs="宋体"/>
          <w:b/>
          <w:bCs/>
          <w:sz w:val="24"/>
          <w:highlight w:val="none"/>
        </w:rPr>
        <w:t>四、联合体协议书</w:t>
      </w:r>
      <w:r>
        <w:rPr>
          <w:rFonts w:hint="eastAsia" w:ascii="宋体" w:hAnsi="宋体" w:eastAsia="宋体" w:cs="宋体"/>
          <w:snapToGrid w:val="0"/>
          <w:kern w:val="0"/>
          <w:sz w:val="24"/>
          <w:highlight w:val="none"/>
          <w:u w:val="single"/>
        </w:rPr>
        <w:t>（本项目不适用）</w:t>
      </w:r>
    </w:p>
    <w:p>
      <w:pPr>
        <w:pStyle w:val="8"/>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u w:val="single"/>
        </w:rPr>
        <w:t xml:space="preserve">          （所有成员单位名称）</w:t>
      </w:r>
      <w:r>
        <w:rPr>
          <w:rFonts w:hint="eastAsia" w:ascii="宋体" w:hAnsi="宋体" w:cs="宋体"/>
          <w:sz w:val="24"/>
          <w:szCs w:val="24"/>
          <w:highlight w:val="none"/>
        </w:rPr>
        <w:t>自愿组成联合体，共同参加</w:t>
      </w:r>
      <w:r>
        <w:rPr>
          <w:rFonts w:hint="eastAsia" w:ascii="宋体" w:hAnsi="宋体" w:cs="宋体"/>
          <w:kern w:val="0"/>
          <w:sz w:val="24"/>
          <w:highlight w:val="none"/>
          <w:u w:val="single"/>
        </w:rPr>
        <w:t>2024-2026年度起重设备及抓斗维保采购项目</w:t>
      </w:r>
      <w:r>
        <w:rPr>
          <w:rFonts w:hint="eastAsia" w:ascii="宋体" w:hAnsi="宋体" w:cs="宋体"/>
          <w:spacing w:val="-6"/>
          <w:sz w:val="24"/>
          <w:szCs w:val="24"/>
          <w:highlight w:val="none"/>
        </w:rPr>
        <w:t>（</w:t>
      </w:r>
      <w:r>
        <w:rPr>
          <w:rFonts w:hint="eastAsia" w:ascii="宋体" w:hAnsi="宋体" w:cs="宋体"/>
          <w:sz w:val="24"/>
          <w:szCs w:val="24"/>
          <w:highlight w:val="none"/>
        </w:rPr>
        <w:t>招标编号：</w:t>
      </w:r>
      <w:r>
        <w:rPr>
          <w:rFonts w:hint="eastAsia" w:ascii="宋体" w:hAnsi="宋体" w:cs="宋体"/>
          <w:sz w:val="24"/>
          <w:szCs w:val="24"/>
          <w:highlight w:val="none"/>
          <w:u w:val="single"/>
        </w:rPr>
        <w:t>NY-1FZB2410089</w:t>
      </w:r>
      <w:r>
        <w:rPr>
          <w:rFonts w:hint="eastAsia" w:ascii="宋体" w:hAnsi="宋体" w:cs="宋体"/>
          <w:spacing w:val="-6"/>
          <w:sz w:val="24"/>
          <w:szCs w:val="24"/>
          <w:highlight w:val="none"/>
        </w:rPr>
        <w:t>）投标。现就联合体投标事宜订立如下协议。</w:t>
      </w:r>
    </w:p>
    <w:p>
      <w:pPr>
        <w:pStyle w:val="8"/>
        <w:tabs>
          <w:tab w:val="left" w:pos="2673"/>
          <w:tab w:val="left" w:pos="5614"/>
        </w:tabs>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u w:val="single"/>
        </w:rPr>
        <w:t xml:space="preserve">          （某成员单位名称）</w:t>
      </w:r>
      <w:r>
        <w:rPr>
          <w:rFonts w:hint="eastAsia" w:ascii="宋体" w:hAnsi="宋体" w:cs="宋体"/>
          <w:sz w:val="24"/>
          <w:szCs w:val="24"/>
          <w:highlight w:val="none"/>
        </w:rPr>
        <w:t>为联合体牵头人。</w:t>
      </w:r>
    </w:p>
    <w:p>
      <w:pPr>
        <w:pStyle w:val="8"/>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2、联合体各成员授权牵头人代表联合体参加投标活动，签署文件，提交和接收相关的资料、信息及指示，进行合同谈判活动，负责合同实施阶段的组织和协调工作，以及处理与本招标项目有关的一切事宜。</w:t>
      </w:r>
    </w:p>
    <w:p>
      <w:pPr>
        <w:pStyle w:val="8"/>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3、联合体牵头人在本项目中签署的一切文件和处理的一切事宜，联合体各成员均予以承认。联合体各成员将严格按照招标文件、投标文件和合同的要求全面履行义务，并向招标人承担连带责任。</w:t>
      </w:r>
    </w:p>
    <w:p>
      <w:pPr>
        <w:pStyle w:val="8"/>
        <w:tabs>
          <w:tab w:val="left" w:pos="8741"/>
        </w:tabs>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4、</w:t>
      </w:r>
      <w:r>
        <w:rPr>
          <w:rFonts w:hint="eastAsia" w:ascii="宋体" w:hAnsi="宋体" w:cs="宋体"/>
          <w:spacing w:val="-3"/>
          <w:sz w:val="24"/>
          <w:szCs w:val="24"/>
          <w:highlight w:val="none"/>
        </w:rPr>
        <w:t>联合体各成员单位内部的职责分工如下：</w:t>
      </w:r>
      <w:r>
        <w:rPr>
          <w:rFonts w:hint="eastAsia" w:ascii="宋体" w:hAnsi="宋体" w:cs="宋体"/>
          <w:sz w:val="24"/>
          <w:szCs w:val="24"/>
          <w:highlight w:val="none"/>
        </w:rPr>
        <w:t>。</w:t>
      </w:r>
    </w:p>
    <w:p>
      <w:pPr>
        <w:pStyle w:val="8"/>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5、本协议书自所有成员单位法定代表人或其委托代理人签字或盖单位章之日起生效，合同履行完毕后自动失效。</w:t>
      </w:r>
    </w:p>
    <w:p>
      <w:pPr>
        <w:pStyle w:val="8"/>
        <w:tabs>
          <w:tab w:val="left" w:pos="2464"/>
        </w:tabs>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6、本协议书一式份，联合体成员和招标人各执一份。</w:t>
      </w:r>
    </w:p>
    <w:p>
      <w:pPr>
        <w:pStyle w:val="8"/>
        <w:adjustRightInd w:val="0"/>
        <w:snapToGrid w:val="0"/>
        <w:spacing w:after="0" w:line="400" w:lineRule="exact"/>
        <w:ind w:firstLine="472" w:firstLineChars="200"/>
        <w:rPr>
          <w:rFonts w:ascii="宋体" w:hAnsi="宋体" w:cs="宋体"/>
          <w:sz w:val="24"/>
          <w:szCs w:val="24"/>
          <w:highlight w:val="none"/>
        </w:rPr>
      </w:pPr>
      <w:r>
        <w:rPr>
          <w:rFonts w:hint="eastAsia" w:ascii="宋体" w:hAnsi="宋体" w:cs="宋体"/>
          <w:sz w:val="24"/>
          <w:szCs w:val="24"/>
          <w:highlight w:val="none"/>
        </w:rPr>
        <w:t>注：本协议书由法定代表人签字的，应附法定代表人身份证明；由委托代理人签字的，应附授权委托书。</w:t>
      </w:r>
    </w:p>
    <w:p>
      <w:pPr>
        <w:pStyle w:val="8"/>
        <w:tabs>
          <w:tab w:val="left" w:pos="7241"/>
        </w:tabs>
        <w:adjustRightInd w:val="0"/>
        <w:snapToGrid w:val="0"/>
        <w:spacing w:after="0" w:line="400" w:lineRule="exact"/>
        <w:rPr>
          <w:rFonts w:ascii="宋体" w:hAnsi="宋体" w:cs="宋体"/>
          <w:sz w:val="24"/>
          <w:szCs w:val="24"/>
          <w:highlight w:val="none"/>
        </w:rPr>
      </w:pPr>
      <w:r>
        <w:rPr>
          <w:rFonts w:hint="eastAsia" w:ascii="宋体" w:hAnsi="宋体" w:cs="宋体"/>
          <w:sz w:val="24"/>
          <w:szCs w:val="24"/>
          <w:highlight w:val="none"/>
        </w:rPr>
        <w:t>联合体牵头人名称：（盖单位章）</w:t>
      </w:r>
    </w:p>
    <w:p>
      <w:pPr>
        <w:pStyle w:val="8"/>
        <w:tabs>
          <w:tab w:val="left" w:pos="7661"/>
        </w:tabs>
        <w:adjustRightInd w:val="0"/>
        <w:snapToGrid w:val="0"/>
        <w:spacing w:after="0" w:line="400" w:lineRule="exact"/>
        <w:rPr>
          <w:rFonts w:ascii="宋体" w:hAnsi="宋体" w:cs="宋体"/>
          <w:sz w:val="24"/>
          <w:szCs w:val="24"/>
          <w:highlight w:val="none"/>
        </w:rPr>
      </w:pPr>
      <w:r>
        <w:rPr>
          <w:rFonts w:hint="eastAsia" w:ascii="宋体" w:hAnsi="宋体" w:cs="宋体"/>
          <w:sz w:val="24"/>
          <w:szCs w:val="24"/>
          <w:highlight w:val="none"/>
        </w:rPr>
        <w:t>法定代表人或其委托代理人：（签字）</w:t>
      </w:r>
    </w:p>
    <w:p>
      <w:pPr>
        <w:pStyle w:val="8"/>
        <w:adjustRightInd w:val="0"/>
        <w:snapToGrid w:val="0"/>
        <w:spacing w:after="0" w:line="400" w:lineRule="exact"/>
        <w:rPr>
          <w:rFonts w:ascii="宋体" w:hAnsi="宋体" w:cs="宋体"/>
          <w:sz w:val="24"/>
          <w:szCs w:val="24"/>
          <w:highlight w:val="none"/>
        </w:rPr>
      </w:pPr>
    </w:p>
    <w:p>
      <w:pPr>
        <w:pStyle w:val="8"/>
        <w:tabs>
          <w:tab w:val="left" w:pos="7241"/>
        </w:tabs>
        <w:adjustRightInd w:val="0"/>
        <w:snapToGrid w:val="0"/>
        <w:spacing w:after="0" w:line="400" w:lineRule="exact"/>
        <w:rPr>
          <w:rFonts w:ascii="宋体" w:hAnsi="宋体" w:cs="宋体"/>
          <w:sz w:val="24"/>
          <w:szCs w:val="24"/>
          <w:highlight w:val="none"/>
        </w:rPr>
      </w:pPr>
      <w:r>
        <w:rPr>
          <w:rFonts w:hint="eastAsia" w:ascii="宋体" w:hAnsi="宋体" w:cs="宋体"/>
          <w:sz w:val="24"/>
          <w:szCs w:val="24"/>
          <w:highlight w:val="none"/>
        </w:rPr>
        <w:t>联合体成员名称：（盖单位章）</w:t>
      </w:r>
    </w:p>
    <w:p>
      <w:pPr>
        <w:pStyle w:val="8"/>
        <w:tabs>
          <w:tab w:val="left" w:pos="7658"/>
        </w:tabs>
        <w:adjustRightInd w:val="0"/>
        <w:snapToGrid w:val="0"/>
        <w:spacing w:after="0" w:line="400" w:lineRule="exact"/>
        <w:rPr>
          <w:rFonts w:ascii="宋体" w:hAnsi="宋体" w:cs="宋体"/>
          <w:sz w:val="24"/>
          <w:szCs w:val="24"/>
          <w:highlight w:val="none"/>
        </w:rPr>
      </w:pPr>
      <w:r>
        <w:rPr>
          <w:rFonts w:hint="eastAsia" w:ascii="宋体" w:hAnsi="宋体" w:cs="宋体"/>
          <w:sz w:val="24"/>
          <w:szCs w:val="24"/>
          <w:highlight w:val="none"/>
        </w:rPr>
        <w:t>法定代表人或其委托代理人：（签字）</w:t>
      </w:r>
    </w:p>
    <w:p>
      <w:pPr>
        <w:pStyle w:val="8"/>
        <w:adjustRightInd w:val="0"/>
        <w:snapToGrid w:val="0"/>
        <w:spacing w:after="0" w:line="400" w:lineRule="exact"/>
        <w:rPr>
          <w:rFonts w:ascii="宋体" w:hAnsi="宋体" w:cs="宋体"/>
          <w:sz w:val="24"/>
          <w:szCs w:val="24"/>
          <w:highlight w:val="none"/>
        </w:rPr>
      </w:pPr>
    </w:p>
    <w:p>
      <w:pPr>
        <w:pStyle w:val="8"/>
        <w:tabs>
          <w:tab w:val="left" w:pos="7241"/>
        </w:tabs>
        <w:adjustRightInd w:val="0"/>
        <w:snapToGrid w:val="0"/>
        <w:spacing w:after="0" w:line="400" w:lineRule="exact"/>
        <w:rPr>
          <w:rFonts w:ascii="宋体" w:hAnsi="宋体" w:cs="宋体"/>
          <w:sz w:val="24"/>
          <w:szCs w:val="24"/>
          <w:highlight w:val="none"/>
        </w:rPr>
      </w:pPr>
      <w:r>
        <w:rPr>
          <w:rFonts w:hint="eastAsia" w:ascii="宋体" w:hAnsi="宋体" w:cs="宋体"/>
          <w:sz w:val="24"/>
          <w:szCs w:val="24"/>
          <w:highlight w:val="none"/>
        </w:rPr>
        <w:t>联合体成员名称：（盖单位章）</w:t>
      </w:r>
    </w:p>
    <w:p>
      <w:pPr>
        <w:pStyle w:val="8"/>
        <w:tabs>
          <w:tab w:val="left" w:pos="7658"/>
        </w:tabs>
        <w:adjustRightInd w:val="0"/>
        <w:snapToGrid w:val="0"/>
        <w:spacing w:after="0" w:line="400" w:lineRule="exact"/>
        <w:rPr>
          <w:rFonts w:ascii="宋体" w:hAnsi="宋体" w:cs="宋体"/>
          <w:sz w:val="24"/>
          <w:szCs w:val="24"/>
          <w:highlight w:val="none"/>
        </w:rPr>
      </w:pPr>
      <w:r>
        <w:rPr>
          <w:rFonts w:hint="eastAsia" w:ascii="宋体" w:hAnsi="宋体" w:cs="宋体"/>
          <w:sz w:val="24"/>
          <w:szCs w:val="24"/>
          <w:highlight w:val="none"/>
        </w:rPr>
        <w:t>法定代表人或其委托代理人：（签字）</w:t>
      </w:r>
    </w:p>
    <w:p>
      <w:pPr>
        <w:pStyle w:val="8"/>
        <w:adjustRightInd w:val="0"/>
        <w:snapToGrid w:val="0"/>
        <w:spacing w:after="0" w:line="400" w:lineRule="exact"/>
        <w:ind w:firstLine="2832" w:firstLineChars="1200"/>
        <w:rPr>
          <w:rFonts w:ascii="宋体" w:hAnsi="宋体" w:cs="宋体"/>
          <w:i/>
          <w:sz w:val="24"/>
          <w:szCs w:val="24"/>
          <w:highlight w:val="none"/>
        </w:rPr>
      </w:pPr>
      <w:r>
        <w:rPr>
          <w:rFonts w:hint="eastAsia" w:ascii="宋体" w:hAnsi="宋体" w:cs="宋体"/>
          <w:i/>
          <w:sz w:val="24"/>
          <w:szCs w:val="24"/>
          <w:highlight w:val="none"/>
        </w:rPr>
        <w:t>（可根据联合体成员单位数量自行添加）</w:t>
      </w:r>
    </w:p>
    <w:p>
      <w:pPr>
        <w:adjustRightInd w:val="0"/>
        <w:snapToGrid w:val="0"/>
        <w:spacing w:line="400" w:lineRule="exact"/>
        <w:jc w:val="right"/>
        <w:rPr>
          <w:rFonts w:ascii="宋体" w:hAnsi="宋体" w:eastAsia="宋体" w:cs="宋体"/>
          <w:b/>
          <w:sz w:val="24"/>
          <w:highlight w:val="none"/>
        </w:rPr>
      </w:pPr>
      <w:r>
        <w:rPr>
          <w:rFonts w:hint="eastAsia" w:ascii="宋体" w:hAnsi="宋体" w:eastAsia="宋体" w:cs="宋体"/>
          <w:sz w:val="24"/>
          <w:highlight w:val="none"/>
        </w:rPr>
        <w:t>年</w:t>
      </w:r>
      <w:r>
        <w:rPr>
          <w:rFonts w:hint="eastAsia" w:ascii="宋体" w:hAnsi="宋体" w:eastAsia="宋体" w:cs="宋体"/>
          <w:spacing w:val="-3"/>
          <w:sz w:val="24"/>
          <w:highlight w:val="none"/>
        </w:rPr>
        <w:t>月</w:t>
      </w:r>
      <w:r>
        <w:rPr>
          <w:rFonts w:hint="eastAsia" w:ascii="宋体" w:hAnsi="宋体" w:eastAsia="宋体" w:cs="宋体"/>
          <w:sz w:val="24"/>
          <w:highlight w:val="none"/>
        </w:rPr>
        <w:t>日</w:t>
      </w:r>
    </w:p>
    <w:p>
      <w:pPr>
        <w:spacing w:line="400" w:lineRule="exact"/>
        <w:jc w:val="center"/>
        <w:rPr>
          <w:rFonts w:ascii="宋体" w:hAnsi="宋体" w:eastAsia="宋体" w:cs="宋体"/>
          <w:sz w:val="24"/>
          <w:highlight w:val="none"/>
          <w:lang w:val="zh-CN"/>
        </w:rPr>
      </w:pPr>
      <w:r>
        <w:rPr>
          <w:rFonts w:hint="eastAsia" w:ascii="宋体" w:hAnsi="宋体" w:eastAsia="宋体" w:cs="宋体"/>
          <w:sz w:val="24"/>
          <w:highlight w:val="none"/>
        </w:rPr>
        <w:br w:type="page"/>
      </w:r>
    </w:p>
    <w:p>
      <w:pPr>
        <w:pStyle w:val="5"/>
        <w:spacing w:line="400" w:lineRule="exact"/>
        <w:jc w:val="center"/>
        <w:rPr>
          <w:rFonts w:cs="宋体"/>
          <w:bCs w:val="0"/>
          <w:sz w:val="24"/>
          <w:szCs w:val="24"/>
          <w:highlight w:val="none"/>
        </w:rPr>
      </w:pPr>
      <w:r>
        <w:rPr>
          <w:rFonts w:hint="eastAsia" w:cs="宋体"/>
          <w:bCs w:val="0"/>
          <w:sz w:val="24"/>
          <w:szCs w:val="24"/>
          <w:highlight w:val="none"/>
        </w:rPr>
        <w:t>五、商务偏离表</w:t>
      </w:r>
    </w:p>
    <w:p>
      <w:pPr>
        <w:adjustRightInd w:val="0"/>
        <w:snapToGrid w:val="0"/>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投标人应根据其投标文件响应情况，对照招标文件的要求，有差异的，则在表中写明实际响应的具体内容。</w:t>
      </w:r>
    </w:p>
    <w:tbl>
      <w:tblPr>
        <w:tblStyle w:val="25"/>
        <w:tblpPr w:leftFromText="180" w:rightFromText="180" w:vertAnchor="text" w:horzAnchor="page" w:tblpX="1491" w:tblpY="804"/>
        <w:tblOverlap w:val="never"/>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40"/>
        <w:gridCol w:w="2003"/>
        <w:gridCol w:w="1200"/>
        <w:gridCol w:w="272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restart"/>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序号</w:t>
            </w:r>
          </w:p>
        </w:tc>
        <w:tc>
          <w:tcPr>
            <w:tcW w:w="3143" w:type="dxa"/>
            <w:gridSpan w:val="2"/>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招标文件要求</w:t>
            </w:r>
          </w:p>
        </w:tc>
        <w:tc>
          <w:tcPr>
            <w:tcW w:w="3921" w:type="dxa"/>
            <w:gridSpan w:val="2"/>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投标文件内容</w:t>
            </w:r>
          </w:p>
        </w:tc>
        <w:tc>
          <w:tcPr>
            <w:tcW w:w="1367" w:type="dxa"/>
            <w:vMerge w:val="restart"/>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continue"/>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条目</w:t>
            </w:r>
          </w:p>
        </w:tc>
        <w:tc>
          <w:tcPr>
            <w:tcW w:w="2003"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简要内容</w:t>
            </w:r>
          </w:p>
        </w:tc>
        <w:tc>
          <w:tcPr>
            <w:tcW w:w="1200"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条目</w:t>
            </w:r>
          </w:p>
        </w:tc>
        <w:tc>
          <w:tcPr>
            <w:tcW w:w="2721"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实际响应的具体内容</w:t>
            </w:r>
          </w:p>
        </w:tc>
        <w:tc>
          <w:tcPr>
            <w:tcW w:w="1367" w:type="dxa"/>
            <w:vMerge w:val="continue"/>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1140" w:type="dxa"/>
            <w:vAlign w:val="center"/>
          </w:tcPr>
          <w:p>
            <w:pPr>
              <w:adjustRightInd w:val="0"/>
              <w:snapToGrid w:val="0"/>
              <w:spacing w:line="400" w:lineRule="exact"/>
              <w:jc w:val="center"/>
              <w:rPr>
                <w:rFonts w:ascii="宋体" w:hAnsi="宋体" w:eastAsia="宋体" w:cs="宋体"/>
                <w:sz w:val="24"/>
                <w:highlight w:val="none"/>
              </w:rPr>
            </w:pPr>
          </w:p>
        </w:tc>
        <w:tc>
          <w:tcPr>
            <w:tcW w:w="2003" w:type="dxa"/>
            <w:vAlign w:val="center"/>
          </w:tcPr>
          <w:p>
            <w:pPr>
              <w:adjustRightInd w:val="0"/>
              <w:snapToGrid w:val="0"/>
              <w:spacing w:line="400" w:lineRule="exact"/>
              <w:jc w:val="center"/>
              <w:rPr>
                <w:rFonts w:ascii="宋体" w:hAnsi="宋体" w:eastAsia="宋体" w:cs="宋体"/>
                <w:sz w:val="24"/>
                <w:highlight w:val="none"/>
              </w:rPr>
            </w:pPr>
          </w:p>
        </w:tc>
        <w:tc>
          <w:tcPr>
            <w:tcW w:w="1200" w:type="dxa"/>
            <w:vAlign w:val="center"/>
          </w:tcPr>
          <w:p>
            <w:pPr>
              <w:adjustRightInd w:val="0"/>
              <w:snapToGrid w:val="0"/>
              <w:spacing w:line="400" w:lineRule="exact"/>
              <w:jc w:val="center"/>
              <w:rPr>
                <w:rFonts w:ascii="宋体" w:hAnsi="宋体" w:eastAsia="宋体" w:cs="宋体"/>
                <w:sz w:val="24"/>
                <w:highlight w:val="none"/>
              </w:rPr>
            </w:pPr>
          </w:p>
        </w:tc>
        <w:tc>
          <w:tcPr>
            <w:tcW w:w="2721" w:type="dxa"/>
            <w:vAlign w:val="center"/>
          </w:tcPr>
          <w:p>
            <w:pPr>
              <w:adjustRightInd w:val="0"/>
              <w:snapToGrid w:val="0"/>
              <w:spacing w:line="400" w:lineRule="exact"/>
              <w:jc w:val="center"/>
              <w:rPr>
                <w:rFonts w:ascii="宋体" w:hAnsi="宋体" w:eastAsia="宋体" w:cs="宋体"/>
                <w:sz w:val="24"/>
                <w:highlight w:val="none"/>
              </w:rPr>
            </w:pPr>
          </w:p>
        </w:tc>
        <w:tc>
          <w:tcPr>
            <w:tcW w:w="1367" w:type="dxa"/>
            <w:vAlign w:val="center"/>
          </w:tcPr>
          <w:p>
            <w:pPr>
              <w:adjustRightInd w:val="0"/>
              <w:snapToGrid w:val="0"/>
              <w:spacing w:line="400" w:lineRule="exact"/>
              <w:jc w:val="center"/>
              <w:rPr>
                <w:rFonts w:ascii="宋体" w:hAnsi="宋体" w:eastAsia="宋体" w:cs="宋体"/>
                <w:sz w:val="24"/>
                <w:highlight w:val="none"/>
              </w:rPr>
            </w:pPr>
          </w:p>
        </w:tc>
      </w:tr>
    </w:tbl>
    <w:p>
      <w:pPr>
        <w:wordWrap w:val="0"/>
        <w:spacing w:line="400" w:lineRule="exact"/>
        <w:rPr>
          <w:rFonts w:ascii="宋体" w:hAnsi="宋体" w:eastAsia="宋体" w:cs="宋体"/>
          <w:kern w:val="0"/>
          <w:sz w:val="24"/>
          <w:highlight w:val="none"/>
        </w:rPr>
      </w:pPr>
    </w:p>
    <w:p>
      <w:pPr>
        <w:spacing w:line="400" w:lineRule="exact"/>
        <w:rPr>
          <w:rFonts w:ascii="宋体" w:hAnsi="宋体" w:eastAsia="宋体" w:cs="宋体"/>
          <w:sz w:val="24"/>
          <w:highlight w:val="none"/>
        </w:rPr>
      </w:pPr>
    </w:p>
    <w:p>
      <w:pPr>
        <w:adjustRightInd w:val="0"/>
        <w:snapToGrid w:val="0"/>
        <w:spacing w:line="400" w:lineRule="exact"/>
        <w:jc w:val="left"/>
        <w:rPr>
          <w:rFonts w:ascii="宋体" w:hAnsi="宋体" w:eastAsia="宋体" w:cs="宋体"/>
          <w:sz w:val="24"/>
          <w:highlight w:val="none"/>
        </w:rPr>
      </w:pPr>
      <w:r>
        <w:rPr>
          <w:rFonts w:hint="eastAsia" w:ascii="宋体" w:hAnsi="宋体" w:eastAsia="宋体" w:cs="宋体"/>
          <w:sz w:val="24"/>
          <w:highlight w:val="none"/>
        </w:rPr>
        <w:t>注：1、请</w:t>
      </w:r>
      <w:r>
        <w:rPr>
          <w:rFonts w:hint="eastAsia" w:ascii="宋体" w:hAnsi="宋体" w:eastAsia="宋体" w:cs="宋体"/>
          <w:sz w:val="24"/>
          <w:highlight w:val="none"/>
          <w:lang w:val="en-GB"/>
        </w:rPr>
        <w:t>投标人在“是否响应”栏内根据响应情况填写“满足或负偏离，或正偏离”，负偏离或正偏离请在“偏离说明”栏内扼要说明偏离情况。</w:t>
      </w:r>
    </w:p>
    <w:p>
      <w:pPr>
        <w:adjustRightInd w:val="0"/>
        <w:snapToGrid w:val="0"/>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2、若投标人未提供或未填写本表，均视作完全响应招标文件要求。</w:t>
      </w:r>
    </w:p>
    <w:p>
      <w:pPr>
        <w:adjustRightInd w:val="0"/>
        <w:snapToGrid w:val="0"/>
        <w:spacing w:line="400" w:lineRule="exact"/>
        <w:ind w:firstLine="472" w:firstLineChars="200"/>
        <w:rPr>
          <w:rFonts w:ascii="宋体" w:hAnsi="宋体" w:eastAsia="宋体" w:cs="宋体"/>
          <w:sz w:val="24"/>
          <w:highlight w:val="none"/>
        </w:rPr>
      </w:pPr>
    </w:p>
    <w:p>
      <w:pPr>
        <w:adjustRightInd w:val="0"/>
        <w:snapToGrid w:val="0"/>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投标人（盖公章）：</w:t>
      </w:r>
    </w:p>
    <w:p>
      <w:pPr>
        <w:adjustRightInd w:val="0"/>
        <w:snapToGrid w:val="0"/>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法定代表人（负责人）或其委托代理人（签字或盖章）：</w:t>
      </w:r>
    </w:p>
    <w:p>
      <w:pPr>
        <w:pStyle w:val="51"/>
        <w:adjustRightInd w:val="0"/>
        <w:snapToGrid w:val="0"/>
        <w:spacing w:line="400" w:lineRule="exact"/>
        <w:rPr>
          <w:rFonts w:hAnsi="宋体" w:cs="宋体"/>
          <w:sz w:val="24"/>
          <w:szCs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p>
    <w:p>
      <w:pPr>
        <w:pStyle w:val="5"/>
        <w:spacing w:line="400" w:lineRule="exact"/>
        <w:jc w:val="center"/>
        <w:rPr>
          <w:rFonts w:cs="宋体"/>
          <w:bCs w:val="0"/>
          <w:sz w:val="24"/>
          <w:szCs w:val="24"/>
          <w:highlight w:val="none"/>
        </w:rPr>
      </w:pPr>
      <w:r>
        <w:rPr>
          <w:rFonts w:cs="宋体"/>
          <w:bCs w:val="0"/>
          <w:sz w:val="24"/>
          <w:szCs w:val="24"/>
          <w:highlight w:val="none"/>
        </w:rPr>
        <w:br w:type="page"/>
      </w:r>
    </w:p>
    <w:p>
      <w:pPr>
        <w:pStyle w:val="5"/>
        <w:spacing w:line="400" w:lineRule="exact"/>
        <w:jc w:val="center"/>
        <w:rPr>
          <w:rFonts w:cs="宋体"/>
          <w:bCs w:val="0"/>
          <w:sz w:val="24"/>
          <w:szCs w:val="24"/>
          <w:highlight w:val="none"/>
          <w:lang w:val="zh-CN"/>
        </w:rPr>
      </w:pPr>
      <w:r>
        <w:rPr>
          <w:rFonts w:hint="eastAsia" w:cs="宋体"/>
          <w:bCs w:val="0"/>
          <w:sz w:val="24"/>
          <w:szCs w:val="24"/>
          <w:highlight w:val="none"/>
        </w:rPr>
        <w:t>六、</w:t>
      </w:r>
      <w:r>
        <w:rPr>
          <w:rFonts w:hint="eastAsia" w:cs="宋体"/>
          <w:bCs w:val="0"/>
          <w:sz w:val="24"/>
          <w:szCs w:val="24"/>
          <w:highlight w:val="none"/>
          <w:lang w:val="zh-CN"/>
        </w:rPr>
        <w:t>优惠条件及特殊承诺</w:t>
      </w:r>
    </w:p>
    <w:p>
      <w:pPr>
        <w:spacing w:line="400" w:lineRule="exact"/>
        <w:jc w:val="center"/>
        <w:rPr>
          <w:rFonts w:ascii="宋体" w:hAnsi="宋体" w:eastAsia="宋体" w:cs="宋体"/>
          <w:sz w:val="24"/>
          <w:highlight w:val="none"/>
        </w:rPr>
      </w:pPr>
      <w:r>
        <w:rPr>
          <w:rFonts w:hint="eastAsia" w:ascii="宋体" w:hAnsi="宋体" w:eastAsia="宋体" w:cs="宋体"/>
          <w:sz w:val="24"/>
          <w:highlight w:val="none"/>
        </w:rPr>
        <w:t>（由投标人根据招标需求自行编制）</w:t>
      </w:r>
    </w:p>
    <w:p>
      <w:pPr>
        <w:spacing w:line="400" w:lineRule="exact"/>
        <w:jc w:val="center"/>
        <w:rPr>
          <w:rFonts w:ascii="宋体" w:hAnsi="宋体" w:eastAsia="宋体" w:cs="宋体"/>
          <w:sz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p>
    <w:p>
      <w:pPr>
        <w:pStyle w:val="13"/>
        <w:spacing w:line="400" w:lineRule="exact"/>
        <w:rPr>
          <w:rFonts w:hAnsi="宋体" w:cs="宋体"/>
          <w:sz w:val="24"/>
          <w:szCs w:val="24"/>
          <w:highlight w:val="none"/>
        </w:rPr>
      </w:pPr>
      <w:r>
        <w:rPr>
          <w:rFonts w:hint="eastAsia" w:hAnsi="宋体" w:cs="宋体"/>
          <w:sz w:val="24"/>
          <w:szCs w:val="24"/>
          <w:highlight w:val="none"/>
        </w:rPr>
        <w:t>投标人（盖公章）：</w:t>
      </w:r>
    </w:p>
    <w:p>
      <w:pPr>
        <w:pStyle w:val="13"/>
        <w:spacing w:line="400" w:lineRule="exact"/>
        <w:rPr>
          <w:rFonts w:hAnsi="宋体" w:cs="宋体"/>
          <w:sz w:val="24"/>
          <w:szCs w:val="24"/>
          <w:highlight w:val="none"/>
        </w:rPr>
      </w:pPr>
      <w:r>
        <w:rPr>
          <w:rFonts w:hint="eastAsia" w:hAnsi="宋体" w:cs="宋体"/>
          <w:sz w:val="24"/>
          <w:szCs w:val="24"/>
          <w:highlight w:val="none"/>
        </w:rPr>
        <w:t>法定代表人</w:t>
      </w:r>
      <w:r>
        <w:rPr>
          <w:rFonts w:hint="eastAsia" w:hAnsi="宋体" w:cs="宋体"/>
          <w:snapToGrid w:val="0"/>
          <w:sz w:val="24"/>
          <w:szCs w:val="24"/>
          <w:highlight w:val="none"/>
        </w:rPr>
        <w:t>（负责人）</w:t>
      </w:r>
      <w:r>
        <w:rPr>
          <w:rFonts w:hint="eastAsia" w:hAnsi="宋体" w:cs="宋体"/>
          <w:sz w:val="24"/>
          <w:szCs w:val="24"/>
          <w:highlight w:val="none"/>
        </w:rPr>
        <w:t>或其委托代理人（签字或盖章）：</w:t>
      </w:r>
    </w:p>
    <w:p>
      <w:pPr>
        <w:pStyle w:val="52"/>
        <w:adjustRightInd w:val="0"/>
        <w:snapToGrid w:val="0"/>
        <w:spacing w:line="400" w:lineRule="exact"/>
        <w:rPr>
          <w:rFonts w:hAnsi="宋体" w:cs="宋体"/>
          <w:sz w:val="24"/>
          <w:highlight w:val="none"/>
        </w:rPr>
      </w:pPr>
      <w:r>
        <w:rPr>
          <w:rFonts w:hint="eastAsia" w:hAnsi="宋体" w:cs="宋体"/>
          <w:snapToGrid w:val="0"/>
          <w:sz w:val="24"/>
          <w:highlight w:val="none"/>
        </w:rPr>
        <w:t>日期：</w:t>
      </w:r>
      <w:r>
        <w:rPr>
          <w:rFonts w:hint="eastAsia" w:hAnsi="宋体" w:cs="宋体"/>
          <w:sz w:val="24"/>
          <w:highlight w:val="none"/>
        </w:rPr>
        <w:t>年    月    日</w:t>
      </w:r>
    </w:p>
    <w:p>
      <w:pPr>
        <w:snapToGrid w:val="0"/>
        <w:spacing w:line="400" w:lineRule="exact"/>
        <w:jc w:val="center"/>
        <w:rPr>
          <w:rFonts w:ascii="宋体" w:hAnsi="宋体" w:eastAsia="宋体" w:cs="宋体"/>
          <w:b/>
          <w:bCs/>
          <w:sz w:val="24"/>
          <w:highlight w:val="none"/>
        </w:rPr>
      </w:pPr>
    </w:p>
    <w:p>
      <w:pPr>
        <w:spacing w:line="400" w:lineRule="exact"/>
        <w:rPr>
          <w:rFonts w:ascii="宋体" w:hAnsi="宋体" w:eastAsia="宋体" w:cs="宋体"/>
          <w:sz w:val="24"/>
          <w:highlight w:val="none"/>
        </w:rPr>
      </w:pPr>
      <w:r>
        <w:rPr>
          <w:rFonts w:hint="eastAsia" w:ascii="宋体" w:hAnsi="宋体" w:eastAsia="宋体" w:cs="宋体"/>
          <w:sz w:val="24"/>
          <w:highlight w:val="none"/>
        </w:rPr>
        <w:br w:type="page"/>
      </w:r>
    </w:p>
    <w:p>
      <w:pPr>
        <w:pStyle w:val="4"/>
        <w:spacing w:before="0" w:after="0" w:line="400" w:lineRule="exact"/>
        <w:jc w:val="center"/>
        <w:rPr>
          <w:rFonts w:ascii="宋体" w:hAnsi="宋体" w:cs="宋体"/>
          <w:sz w:val="28"/>
          <w:szCs w:val="28"/>
          <w:highlight w:val="none"/>
        </w:rPr>
      </w:pPr>
      <w:r>
        <w:rPr>
          <w:rFonts w:hint="eastAsia" w:ascii="宋体" w:hAnsi="宋体" w:cs="宋体"/>
          <w:sz w:val="28"/>
          <w:szCs w:val="28"/>
          <w:highlight w:val="none"/>
        </w:rPr>
        <w:t>第三部分、资信文件</w:t>
      </w:r>
      <w:bookmarkEnd w:id="119"/>
      <w:bookmarkEnd w:id="120"/>
    </w:p>
    <w:p>
      <w:pPr>
        <w:pStyle w:val="5"/>
        <w:spacing w:line="400" w:lineRule="exact"/>
        <w:jc w:val="center"/>
        <w:rPr>
          <w:rFonts w:cs="宋体"/>
          <w:sz w:val="24"/>
          <w:szCs w:val="24"/>
          <w:highlight w:val="none"/>
        </w:rPr>
      </w:pPr>
      <w:bookmarkStart w:id="121" w:name="_Toc31736"/>
      <w:r>
        <w:rPr>
          <w:rFonts w:hint="eastAsia" w:cs="宋体"/>
          <w:sz w:val="24"/>
          <w:szCs w:val="24"/>
          <w:highlight w:val="none"/>
        </w:rPr>
        <w:t>一、投标人基本情况表</w:t>
      </w:r>
      <w:bookmarkEnd w:id="121"/>
    </w:p>
    <w:tbl>
      <w:tblPr>
        <w:tblStyle w:val="25"/>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174"/>
        <w:gridCol w:w="80"/>
        <w:gridCol w:w="1660"/>
        <w:gridCol w:w="957"/>
        <w:gridCol w:w="957"/>
        <w:gridCol w:w="846"/>
        <w:gridCol w:w="1068"/>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投标人名称</w:t>
            </w:r>
          </w:p>
        </w:tc>
        <w:tc>
          <w:tcPr>
            <w:tcW w:w="7370" w:type="dxa"/>
            <w:gridSpan w:val="7"/>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1"/>
              <w:spacing w:line="400" w:lineRule="exact"/>
              <w:rPr>
                <w:rFonts w:hAnsi="宋体" w:cs="宋体"/>
                <w:b/>
                <w:sz w:val="24"/>
                <w:szCs w:val="24"/>
                <w:highlight w:val="none"/>
              </w:rPr>
            </w:pPr>
            <w:r>
              <w:rPr>
                <w:rFonts w:hint="eastAsia" w:hAnsi="宋体" w:cs="宋体"/>
                <w:b/>
                <w:sz w:val="24"/>
                <w:szCs w:val="24"/>
                <w:highlight w:val="none"/>
              </w:rPr>
              <w:t>营业执照（事业单位法人证书等）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统一社会信用代码</w:t>
            </w:r>
          </w:p>
        </w:tc>
        <w:tc>
          <w:tcPr>
            <w:tcW w:w="2697" w:type="dxa"/>
            <w:gridSpan w:val="3"/>
            <w:vAlign w:val="center"/>
          </w:tcPr>
          <w:p>
            <w:pPr>
              <w:pStyle w:val="51"/>
              <w:spacing w:line="400" w:lineRule="exact"/>
              <w:rPr>
                <w:rFonts w:hAnsi="宋体" w:cs="宋体"/>
                <w:sz w:val="24"/>
                <w:szCs w:val="24"/>
                <w:highlight w:val="none"/>
              </w:rPr>
            </w:pPr>
          </w:p>
        </w:tc>
        <w:tc>
          <w:tcPr>
            <w:tcW w:w="1803"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注册资本</w:t>
            </w:r>
          </w:p>
        </w:tc>
        <w:tc>
          <w:tcPr>
            <w:tcW w:w="2870" w:type="dxa"/>
            <w:gridSpan w:val="2"/>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发照机关</w:t>
            </w:r>
          </w:p>
        </w:tc>
        <w:tc>
          <w:tcPr>
            <w:tcW w:w="2697" w:type="dxa"/>
            <w:gridSpan w:val="3"/>
            <w:vAlign w:val="center"/>
          </w:tcPr>
          <w:p>
            <w:pPr>
              <w:pStyle w:val="51"/>
              <w:spacing w:line="400" w:lineRule="exact"/>
              <w:rPr>
                <w:rFonts w:hAnsi="宋体" w:cs="宋体"/>
                <w:sz w:val="24"/>
                <w:szCs w:val="24"/>
                <w:highlight w:val="none"/>
              </w:rPr>
            </w:pPr>
          </w:p>
        </w:tc>
        <w:tc>
          <w:tcPr>
            <w:tcW w:w="1803"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注册地址</w:t>
            </w:r>
          </w:p>
        </w:tc>
        <w:tc>
          <w:tcPr>
            <w:tcW w:w="2870" w:type="dxa"/>
            <w:gridSpan w:val="2"/>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成立时间</w:t>
            </w:r>
          </w:p>
        </w:tc>
        <w:tc>
          <w:tcPr>
            <w:tcW w:w="2697" w:type="dxa"/>
            <w:gridSpan w:val="3"/>
            <w:vAlign w:val="center"/>
          </w:tcPr>
          <w:p>
            <w:pPr>
              <w:pStyle w:val="51"/>
              <w:spacing w:line="400" w:lineRule="exact"/>
              <w:rPr>
                <w:rFonts w:hAnsi="宋体" w:cs="宋体"/>
                <w:sz w:val="24"/>
                <w:szCs w:val="24"/>
                <w:highlight w:val="none"/>
              </w:rPr>
            </w:pPr>
          </w:p>
        </w:tc>
        <w:tc>
          <w:tcPr>
            <w:tcW w:w="1803"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单位性质</w:t>
            </w:r>
          </w:p>
        </w:tc>
        <w:tc>
          <w:tcPr>
            <w:tcW w:w="2870" w:type="dxa"/>
            <w:gridSpan w:val="2"/>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经营范围</w:t>
            </w:r>
          </w:p>
        </w:tc>
        <w:tc>
          <w:tcPr>
            <w:tcW w:w="7370" w:type="dxa"/>
            <w:gridSpan w:val="7"/>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1"/>
              <w:spacing w:line="400" w:lineRule="exact"/>
              <w:rPr>
                <w:rFonts w:hAnsi="宋体" w:cs="宋体"/>
                <w:b/>
                <w:sz w:val="24"/>
                <w:szCs w:val="24"/>
                <w:highlight w:val="none"/>
              </w:rPr>
            </w:pPr>
            <w:r>
              <w:rPr>
                <w:rFonts w:hint="eastAsia" w:hAnsi="宋体" w:cs="宋体"/>
                <w:b/>
                <w:sz w:val="24"/>
                <w:szCs w:val="24"/>
                <w:highlight w:val="none"/>
              </w:rPr>
              <w:t>单位资质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单位资质等级</w:t>
            </w:r>
          </w:p>
        </w:tc>
        <w:tc>
          <w:tcPr>
            <w:tcW w:w="2697" w:type="dxa"/>
            <w:gridSpan w:val="3"/>
            <w:vAlign w:val="center"/>
          </w:tcPr>
          <w:p>
            <w:pPr>
              <w:pStyle w:val="51"/>
              <w:spacing w:line="400" w:lineRule="exact"/>
              <w:rPr>
                <w:rFonts w:hAnsi="宋体" w:cs="宋体"/>
                <w:sz w:val="24"/>
                <w:szCs w:val="24"/>
                <w:highlight w:val="none"/>
              </w:rPr>
            </w:pPr>
          </w:p>
        </w:tc>
        <w:tc>
          <w:tcPr>
            <w:tcW w:w="1803"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证书编号</w:t>
            </w:r>
          </w:p>
        </w:tc>
        <w:tc>
          <w:tcPr>
            <w:tcW w:w="2870" w:type="dxa"/>
            <w:gridSpan w:val="2"/>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发证机关</w:t>
            </w:r>
          </w:p>
        </w:tc>
        <w:tc>
          <w:tcPr>
            <w:tcW w:w="2697" w:type="dxa"/>
            <w:gridSpan w:val="3"/>
            <w:vAlign w:val="center"/>
          </w:tcPr>
          <w:p>
            <w:pPr>
              <w:pStyle w:val="51"/>
              <w:spacing w:line="400" w:lineRule="exact"/>
              <w:rPr>
                <w:rFonts w:hAnsi="宋体" w:cs="宋体"/>
                <w:sz w:val="24"/>
                <w:szCs w:val="24"/>
                <w:highlight w:val="none"/>
              </w:rPr>
            </w:pPr>
          </w:p>
        </w:tc>
        <w:tc>
          <w:tcPr>
            <w:tcW w:w="1803"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业务范围</w:t>
            </w:r>
          </w:p>
        </w:tc>
        <w:tc>
          <w:tcPr>
            <w:tcW w:w="2870" w:type="dxa"/>
            <w:gridSpan w:val="2"/>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1"/>
              <w:spacing w:line="400" w:lineRule="exact"/>
              <w:rPr>
                <w:rFonts w:hAnsi="宋体" w:cs="宋体"/>
                <w:b/>
                <w:sz w:val="24"/>
                <w:szCs w:val="24"/>
                <w:highlight w:val="none"/>
              </w:rPr>
            </w:pPr>
            <w:r>
              <w:rPr>
                <w:rFonts w:hint="eastAsia" w:hAnsi="宋体" w:cs="宋体"/>
                <w:b/>
                <w:sz w:val="24"/>
                <w:szCs w:val="24"/>
                <w:highlight w:val="none"/>
              </w:rPr>
              <w:t>领导层构成情况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1"/>
              <w:spacing w:line="400" w:lineRule="exact"/>
              <w:rPr>
                <w:rFonts w:hAnsi="宋体" w:cs="宋体"/>
                <w:sz w:val="24"/>
                <w:szCs w:val="24"/>
                <w:highlight w:val="none"/>
              </w:rPr>
            </w:pPr>
          </w:p>
        </w:tc>
        <w:tc>
          <w:tcPr>
            <w:tcW w:w="1914" w:type="dxa"/>
            <w:gridSpan w:val="3"/>
            <w:vAlign w:val="center"/>
          </w:tcPr>
          <w:p>
            <w:pPr>
              <w:pStyle w:val="51"/>
              <w:spacing w:line="400" w:lineRule="exact"/>
              <w:rPr>
                <w:rFonts w:hAnsi="宋体" w:cs="宋体"/>
                <w:sz w:val="24"/>
                <w:szCs w:val="24"/>
                <w:highlight w:val="none"/>
              </w:rPr>
            </w:pPr>
            <w:r>
              <w:rPr>
                <w:rFonts w:hint="eastAsia" w:hAnsi="宋体" w:cs="宋体"/>
                <w:sz w:val="24"/>
                <w:szCs w:val="24"/>
                <w:highlight w:val="none"/>
              </w:rPr>
              <w:t>姓名</w:t>
            </w:r>
          </w:p>
        </w:tc>
        <w:tc>
          <w:tcPr>
            <w:tcW w:w="1914"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职务</w:t>
            </w:r>
          </w:p>
        </w:tc>
        <w:tc>
          <w:tcPr>
            <w:tcW w:w="1914"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职称</w:t>
            </w:r>
          </w:p>
        </w:tc>
        <w:tc>
          <w:tcPr>
            <w:tcW w:w="1802"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法定代表人</w:t>
            </w:r>
          </w:p>
        </w:tc>
        <w:tc>
          <w:tcPr>
            <w:tcW w:w="1914" w:type="dxa"/>
            <w:gridSpan w:val="3"/>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802" w:type="dxa"/>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单位负责人</w:t>
            </w:r>
          </w:p>
        </w:tc>
        <w:tc>
          <w:tcPr>
            <w:tcW w:w="1914" w:type="dxa"/>
            <w:gridSpan w:val="3"/>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802" w:type="dxa"/>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1"/>
              <w:spacing w:line="400" w:lineRule="exact"/>
              <w:rPr>
                <w:rFonts w:hAnsi="宋体" w:cs="宋体"/>
                <w:sz w:val="24"/>
                <w:szCs w:val="24"/>
                <w:highlight w:val="none"/>
              </w:rPr>
            </w:pPr>
          </w:p>
        </w:tc>
        <w:tc>
          <w:tcPr>
            <w:tcW w:w="1914" w:type="dxa"/>
            <w:gridSpan w:val="3"/>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802" w:type="dxa"/>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1"/>
              <w:spacing w:line="400" w:lineRule="exact"/>
              <w:rPr>
                <w:rFonts w:hAnsi="宋体" w:cs="宋体"/>
                <w:sz w:val="24"/>
                <w:szCs w:val="24"/>
                <w:highlight w:val="none"/>
              </w:rPr>
            </w:pPr>
          </w:p>
        </w:tc>
        <w:tc>
          <w:tcPr>
            <w:tcW w:w="1914" w:type="dxa"/>
            <w:gridSpan w:val="3"/>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802" w:type="dxa"/>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1"/>
              <w:spacing w:line="400" w:lineRule="exact"/>
              <w:rPr>
                <w:rFonts w:hAnsi="宋体" w:cs="宋体"/>
                <w:b/>
                <w:sz w:val="24"/>
                <w:szCs w:val="24"/>
                <w:highlight w:val="none"/>
              </w:rPr>
            </w:pPr>
            <w:r>
              <w:rPr>
                <w:rFonts w:hint="eastAsia" w:hAnsi="宋体" w:cs="宋体"/>
                <w:b/>
                <w:sz w:val="24"/>
                <w:szCs w:val="24"/>
                <w:highlight w:val="none"/>
              </w:rPr>
              <w:t>人员职称构成情况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人员总数</w:t>
            </w:r>
          </w:p>
        </w:tc>
        <w:tc>
          <w:tcPr>
            <w:tcW w:w="1914" w:type="dxa"/>
            <w:gridSpan w:val="3"/>
            <w:vAlign w:val="center"/>
          </w:tcPr>
          <w:p>
            <w:pPr>
              <w:pStyle w:val="51"/>
              <w:spacing w:line="400" w:lineRule="exact"/>
              <w:rPr>
                <w:rFonts w:hAnsi="宋体" w:cs="宋体"/>
                <w:sz w:val="24"/>
                <w:szCs w:val="24"/>
                <w:highlight w:val="none"/>
              </w:rPr>
            </w:pPr>
            <w:r>
              <w:rPr>
                <w:rFonts w:hint="eastAsia" w:hAnsi="宋体" w:cs="宋体"/>
                <w:sz w:val="24"/>
                <w:szCs w:val="24"/>
                <w:highlight w:val="none"/>
              </w:rPr>
              <w:t>高级职称</w:t>
            </w:r>
          </w:p>
        </w:tc>
        <w:tc>
          <w:tcPr>
            <w:tcW w:w="1914"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中级职称</w:t>
            </w:r>
          </w:p>
        </w:tc>
        <w:tc>
          <w:tcPr>
            <w:tcW w:w="1914"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初级职称</w:t>
            </w:r>
          </w:p>
        </w:tc>
        <w:tc>
          <w:tcPr>
            <w:tcW w:w="1802"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914" w:type="dxa"/>
            <w:vAlign w:val="center"/>
          </w:tcPr>
          <w:p>
            <w:pPr>
              <w:pStyle w:val="51"/>
              <w:spacing w:line="400" w:lineRule="exact"/>
              <w:rPr>
                <w:rFonts w:hAnsi="宋体" w:cs="宋体"/>
                <w:sz w:val="24"/>
                <w:szCs w:val="24"/>
                <w:highlight w:val="none"/>
              </w:rPr>
            </w:pPr>
          </w:p>
        </w:tc>
        <w:tc>
          <w:tcPr>
            <w:tcW w:w="1914" w:type="dxa"/>
            <w:gridSpan w:val="3"/>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802" w:type="dxa"/>
            <w:vAlign w:val="center"/>
          </w:tcPr>
          <w:p>
            <w:pPr>
              <w:pStyle w:val="51"/>
              <w:spacing w:line="400" w:lineRule="exac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1"/>
              <w:spacing w:line="400" w:lineRule="exact"/>
              <w:rPr>
                <w:rFonts w:hAnsi="宋体" w:cs="宋体"/>
                <w:b/>
                <w:sz w:val="24"/>
                <w:szCs w:val="24"/>
                <w:highlight w:val="none"/>
              </w:rPr>
            </w:pPr>
            <w:r>
              <w:rPr>
                <w:rFonts w:hint="eastAsia" w:hAnsi="宋体" w:cs="宋体"/>
                <w:b/>
                <w:sz w:val="24"/>
                <w:szCs w:val="24"/>
                <w:highlight w:val="none"/>
              </w:rPr>
              <w:t>近5年营业额情况（万元）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pPr>
              <w:pStyle w:val="51"/>
              <w:spacing w:line="400" w:lineRule="exact"/>
              <w:rPr>
                <w:rFonts w:hAnsi="宋体" w:cs="宋体"/>
                <w:sz w:val="24"/>
                <w:szCs w:val="24"/>
                <w:highlight w:val="none"/>
              </w:rPr>
            </w:pPr>
            <w:r>
              <w:rPr>
                <w:rFonts w:hint="eastAsia" w:hAnsi="宋体" w:cs="宋体"/>
                <w:sz w:val="24"/>
                <w:szCs w:val="24"/>
                <w:highlight w:val="none"/>
              </w:rPr>
              <w:t>20  年</w:t>
            </w:r>
          </w:p>
        </w:tc>
        <w:tc>
          <w:tcPr>
            <w:tcW w:w="1660"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20  年</w:t>
            </w:r>
          </w:p>
        </w:tc>
        <w:tc>
          <w:tcPr>
            <w:tcW w:w="1914"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20  年</w:t>
            </w:r>
          </w:p>
        </w:tc>
        <w:tc>
          <w:tcPr>
            <w:tcW w:w="1914" w:type="dxa"/>
            <w:gridSpan w:val="2"/>
            <w:vAlign w:val="center"/>
          </w:tcPr>
          <w:p>
            <w:pPr>
              <w:pStyle w:val="51"/>
              <w:spacing w:line="400" w:lineRule="exact"/>
              <w:rPr>
                <w:rFonts w:hAnsi="宋体" w:cs="宋体"/>
                <w:sz w:val="24"/>
                <w:szCs w:val="24"/>
                <w:highlight w:val="none"/>
              </w:rPr>
            </w:pPr>
            <w:r>
              <w:rPr>
                <w:rFonts w:hint="eastAsia" w:hAnsi="宋体" w:cs="宋体"/>
                <w:sz w:val="24"/>
                <w:szCs w:val="24"/>
                <w:highlight w:val="none"/>
              </w:rPr>
              <w:t>20  年</w:t>
            </w:r>
          </w:p>
        </w:tc>
        <w:tc>
          <w:tcPr>
            <w:tcW w:w="1802" w:type="dxa"/>
            <w:vAlign w:val="center"/>
          </w:tcPr>
          <w:p>
            <w:pPr>
              <w:pStyle w:val="51"/>
              <w:spacing w:line="400" w:lineRule="exact"/>
              <w:rPr>
                <w:rFonts w:hAnsi="宋体" w:cs="宋体"/>
                <w:sz w:val="24"/>
                <w:szCs w:val="24"/>
                <w:highlight w:val="none"/>
              </w:rPr>
            </w:pPr>
            <w:r>
              <w:rPr>
                <w:rFonts w:hint="eastAsia" w:hAnsi="宋体" w:cs="宋体"/>
                <w:sz w:val="24"/>
                <w:szCs w:val="24"/>
                <w:highlight w:val="none"/>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pPr>
              <w:pStyle w:val="51"/>
              <w:spacing w:line="400" w:lineRule="exact"/>
              <w:rPr>
                <w:rFonts w:hAnsi="宋体" w:cs="宋体"/>
                <w:sz w:val="24"/>
                <w:szCs w:val="24"/>
                <w:highlight w:val="none"/>
              </w:rPr>
            </w:pPr>
          </w:p>
        </w:tc>
        <w:tc>
          <w:tcPr>
            <w:tcW w:w="1660" w:type="dxa"/>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914" w:type="dxa"/>
            <w:gridSpan w:val="2"/>
            <w:vAlign w:val="center"/>
          </w:tcPr>
          <w:p>
            <w:pPr>
              <w:pStyle w:val="51"/>
              <w:spacing w:line="400" w:lineRule="exact"/>
              <w:rPr>
                <w:rFonts w:hAnsi="宋体" w:cs="宋体"/>
                <w:sz w:val="24"/>
                <w:szCs w:val="24"/>
                <w:highlight w:val="none"/>
              </w:rPr>
            </w:pPr>
          </w:p>
        </w:tc>
        <w:tc>
          <w:tcPr>
            <w:tcW w:w="1802" w:type="dxa"/>
            <w:vAlign w:val="center"/>
          </w:tcPr>
          <w:p>
            <w:pPr>
              <w:pStyle w:val="51"/>
              <w:spacing w:line="400" w:lineRule="exact"/>
              <w:rPr>
                <w:rFonts w:hAnsi="宋体" w:cs="宋体"/>
                <w:sz w:val="24"/>
                <w:szCs w:val="24"/>
                <w:highlight w:val="none"/>
              </w:rPr>
            </w:pPr>
          </w:p>
        </w:tc>
      </w:tr>
    </w:tbl>
    <w:p>
      <w:pPr>
        <w:pStyle w:val="51"/>
        <w:snapToGrid w:val="0"/>
        <w:spacing w:line="400" w:lineRule="exact"/>
        <w:rPr>
          <w:highlight w:val="none"/>
        </w:rPr>
      </w:pPr>
      <w:r>
        <w:rPr>
          <w:rFonts w:hint="eastAsia" w:hAnsi="宋体" w:cs="宋体"/>
          <w:sz w:val="24"/>
          <w:szCs w:val="24"/>
          <w:highlight w:val="none"/>
        </w:rPr>
        <w:t>注：本表后应附相关证明材料的复印件并加盖公章。</w:t>
      </w:r>
      <w:r>
        <w:rPr>
          <w:rFonts w:hint="eastAsia"/>
          <w:highlight w:val="none"/>
        </w:rPr>
        <w:t>投标人（盖公章）：</w:t>
      </w:r>
    </w:p>
    <w:p>
      <w:pPr>
        <w:pStyle w:val="51"/>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法定代表人（负责人）或其委托代理人（签字或盖章）：</w:t>
      </w:r>
    </w:p>
    <w:p>
      <w:pPr>
        <w:pStyle w:val="51"/>
        <w:snapToGrid w:val="0"/>
        <w:spacing w:line="400" w:lineRule="exact"/>
        <w:rPr>
          <w:rFonts w:hAnsi="宋体" w:cs="宋体"/>
          <w:sz w:val="24"/>
          <w:szCs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p>
    <w:p>
      <w:pPr>
        <w:snapToGrid w:val="0"/>
        <w:spacing w:line="400" w:lineRule="exact"/>
        <w:jc w:val="center"/>
        <w:outlineLvl w:val="2"/>
        <w:rPr>
          <w:rFonts w:ascii="宋体" w:hAnsi="宋体" w:eastAsia="宋体" w:cs="宋体"/>
          <w:sz w:val="24"/>
          <w:highlight w:val="none"/>
        </w:rPr>
      </w:pPr>
      <w:bookmarkStart w:id="122" w:name="_Toc24517"/>
    </w:p>
    <w:p>
      <w:pPr>
        <w:snapToGrid w:val="0"/>
        <w:spacing w:line="400" w:lineRule="exact"/>
        <w:jc w:val="center"/>
        <w:outlineLvl w:val="2"/>
        <w:rPr>
          <w:rFonts w:ascii="宋体" w:hAnsi="宋体" w:eastAsia="宋体" w:cs="宋体"/>
          <w:sz w:val="24"/>
          <w:highlight w:val="none"/>
        </w:rPr>
      </w:pPr>
    </w:p>
    <w:p>
      <w:pPr>
        <w:snapToGrid w:val="0"/>
        <w:spacing w:line="400" w:lineRule="exact"/>
        <w:jc w:val="center"/>
        <w:outlineLvl w:val="2"/>
        <w:rPr>
          <w:rFonts w:ascii="宋体" w:hAnsi="宋体" w:eastAsia="宋体" w:cs="宋体"/>
          <w:sz w:val="24"/>
          <w:highlight w:val="none"/>
        </w:rPr>
      </w:pPr>
    </w:p>
    <w:p>
      <w:pPr>
        <w:snapToGrid w:val="0"/>
        <w:spacing w:line="400" w:lineRule="exact"/>
        <w:jc w:val="center"/>
        <w:outlineLvl w:val="2"/>
        <w:rPr>
          <w:rFonts w:ascii="宋体" w:hAnsi="宋体" w:eastAsia="宋体" w:cs="宋体"/>
          <w:sz w:val="24"/>
          <w:highlight w:val="none"/>
        </w:rPr>
      </w:pPr>
      <w:r>
        <w:rPr>
          <w:rFonts w:hint="eastAsia" w:ascii="宋体" w:hAnsi="宋体" w:eastAsia="宋体" w:cs="宋体"/>
          <w:sz w:val="24"/>
          <w:highlight w:val="none"/>
        </w:rPr>
        <w:t>二</w:t>
      </w:r>
      <w:bookmarkEnd w:id="122"/>
      <w:r>
        <w:rPr>
          <w:rFonts w:hint="eastAsia" w:ascii="宋体" w:hAnsi="宋体" w:eastAsia="宋体" w:cs="宋体"/>
          <w:b/>
          <w:bCs/>
          <w:sz w:val="24"/>
          <w:highlight w:val="none"/>
        </w:rPr>
        <w:t>、投标人近__年类似业绩情况表</w:t>
      </w:r>
    </w:p>
    <w:p>
      <w:pPr>
        <w:pStyle w:val="8"/>
        <w:spacing w:line="400" w:lineRule="exact"/>
        <w:jc w:val="center"/>
        <w:rPr>
          <w:rFonts w:ascii="宋体" w:hAnsi="宋体" w:cs="宋体"/>
          <w:sz w:val="24"/>
          <w:szCs w:val="24"/>
          <w:highlight w:val="none"/>
        </w:rPr>
      </w:pPr>
      <w:r>
        <w:rPr>
          <w:rFonts w:hint="eastAsia" w:ascii="宋体" w:hAnsi="宋体" w:cs="宋体"/>
          <w:sz w:val="24"/>
          <w:szCs w:val="24"/>
          <w:highlight w:val="none"/>
        </w:rPr>
        <w:t>（  年 月  日至投标文件递交截止之日</w:t>
      </w:r>
      <w:r>
        <w:rPr>
          <w:rFonts w:hint="eastAsia" w:ascii="宋体" w:hAnsi="宋体" w:cs="宋体"/>
          <w:spacing w:val="-3"/>
          <w:sz w:val="24"/>
          <w:szCs w:val="24"/>
          <w:highlight w:val="none"/>
        </w:rPr>
        <w:t>对应本次采</w:t>
      </w:r>
      <w:r>
        <w:rPr>
          <w:rFonts w:hint="eastAsia" w:ascii="宋体" w:hAnsi="宋体" w:cs="宋体"/>
          <w:spacing w:val="-1"/>
          <w:sz w:val="24"/>
          <w:szCs w:val="24"/>
          <w:highlight w:val="none"/>
        </w:rPr>
        <w:t>购标的物</w:t>
      </w:r>
      <w:r>
        <w:rPr>
          <w:rFonts w:hint="eastAsia" w:ascii="宋体" w:hAnsi="宋体" w:cs="宋体"/>
          <w:sz w:val="24"/>
          <w:szCs w:val="24"/>
          <w:highlight w:val="none"/>
        </w:rPr>
        <w:t>销售业绩）</w:t>
      </w:r>
    </w:p>
    <w:tbl>
      <w:tblPr>
        <w:tblStyle w:val="25"/>
        <w:tblW w:w="9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417"/>
        <w:gridCol w:w="1134"/>
        <w:gridCol w:w="1126"/>
        <w:gridCol w:w="1125"/>
        <w:gridCol w:w="850"/>
        <w:gridCol w:w="1134"/>
        <w:gridCol w:w="1152"/>
        <w:gridCol w:w="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序号</w:t>
            </w:r>
          </w:p>
        </w:tc>
        <w:tc>
          <w:tcPr>
            <w:tcW w:w="1417"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招标人名称</w:t>
            </w:r>
          </w:p>
        </w:tc>
        <w:tc>
          <w:tcPr>
            <w:tcW w:w="1134"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项目名称</w:t>
            </w:r>
          </w:p>
        </w:tc>
        <w:tc>
          <w:tcPr>
            <w:tcW w:w="1126"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合同金额</w:t>
            </w:r>
          </w:p>
        </w:tc>
        <w:tc>
          <w:tcPr>
            <w:tcW w:w="1125"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签约日期</w:t>
            </w:r>
          </w:p>
        </w:tc>
        <w:tc>
          <w:tcPr>
            <w:tcW w:w="850"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联系人</w:t>
            </w:r>
          </w:p>
        </w:tc>
        <w:tc>
          <w:tcPr>
            <w:tcW w:w="1134" w:type="dxa"/>
            <w:shd w:val="clear" w:color="auto" w:fill="auto"/>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联系电话</w:t>
            </w:r>
          </w:p>
        </w:tc>
        <w:tc>
          <w:tcPr>
            <w:tcW w:w="1152" w:type="dxa"/>
            <w:shd w:val="clear" w:color="auto" w:fill="D9D9D9"/>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合同证明文件所在页码</w:t>
            </w:r>
          </w:p>
        </w:tc>
        <w:tc>
          <w:tcPr>
            <w:tcW w:w="646"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highlight w:val="none"/>
              </w:rPr>
            </w:pPr>
          </w:p>
        </w:tc>
        <w:tc>
          <w:tcPr>
            <w:tcW w:w="1417"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26" w:type="dxa"/>
            <w:shd w:val="clear" w:color="auto" w:fill="auto"/>
            <w:vAlign w:val="center"/>
          </w:tcPr>
          <w:p>
            <w:pPr>
              <w:spacing w:line="400" w:lineRule="exact"/>
              <w:jc w:val="center"/>
              <w:rPr>
                <w:rFonts w:ascii="宋体" w:hAnsi="宋体" w:eastAsia="宋体" w:cs="宋体"/>
                <w:spacing w:val="20"/>
                <w:sz w:val="24"/>
                <w:highlight w:val="none"/>
              </w:rPr>
            </w:pPr>
          </w:p>
        </w:tc>
        <w:tc>
          <w:tcPr>
            <w:tcW w:w="1125" w:type="dxa"/>
            <w:shd w:val="clear" w:color="auto" w:fill="auto"/>
            <w:vAlign w:val="center"/>
          </w:tcPr>
          <w:p>
            <w:pPr>
              <w:spacing w:line="400" w:lineRule="exact"/>
              <w:jc w:val="center"/>
              <w:rPr>
                <w:rFonts w:ascii="宋体" w:hAnsi="宋体" w:eastAsia="宋体" w:cs="宋体"/>
                <w:spacing w:val="20"/>
                <w:sz w:val="24"/>
                <w:highlight w:val="none"/>
              </w:rPr>
            </w:pPr>
          </w:p>
        </w:tc>
        <w:tc>
          <w:tcPr>
            <w:tcW w:w="850" w:type="dxa"/>
            <w:shd w:val="clear" w:color="auto" w:fill="auto"/>
            <w:vAlign w:val="center"/>
          </w:tcPr>
          <w:p>
            <w:pPr>
              <w:spacing w:line="400" w:lineRule="exact"/>
              <w:jc w:val="center"/>
              <w:rPr>
                <w:rFonts w:ascii="宋体" w:hAnsi="宋体" w:eastAsia="宋体" w:cs="宋体"/>
                <w:spacing w:val="20"/>
                <w:sz w:val="24"/>
                <w:highlight w:val="none"/>
              </w:rPr>
            </w:pPr>
          </w:p>
        </w:tc>
        <w:tc>
          <w:tcPr>
            <w:tcW w:w="1134" w:type="dxa"/>
            <w:shd w:val="clear" w:color="auto" w:fill="auto"/>
            <w:vAlign w:val="center"/>
          </w:tcPr>
          <w:p>
            <w:pPr>
              <w:spacing w:line="400" w:lineRule="exact"/>
              <w:jc w:val="center"/>
              <w:rPr>
                <w:rFonts w:ascii="宋体" w:hAnsi="宋体" w:eastAsia="宋体" w:cs="宋体"/>
                <w:spacing w:val="20"/>
                <w:sz w:val="24"/>
                <w:highlight w:val="none"/>
              </w:rPr>
            </w:pPr>
          </w:p>
        </w:tc>
        <w:tc>
          <w:tcPr>
            <w:tcW w:w="1152" w:type="dxa"/>
            <w:shd w:val="clear" w:color="auto" w:fill="D9D9D9"/>
            <w:vAlign w:val="center"/>
          </w:tcPr>
          <w:p>
            <w:pPr>
              <w:spacing w:line="400" w:lineRule="exact"/>
              <w:jc w:val="center"/>
              <w:rPr>
                <w:rFonts w:ascii="宋体" w:hAnsi="宋体" w:eastAsia="宋体" w:cs="宋体"/>
                <w:spacing w:val="20"/>
                <w:sz w:val="24"/>
                <w:highlight w:val="none"/>
              </w:rPr>
            </w:pPr>
          </w:p>
        </w:tc>
        <w:tc>
          <w:tcPr>
            <w:tcW w:w="646" w:type="dxa"/>
            <w:vAlign w:val="center"/>
          </w:tcPr>
          <w:p>
            <w:pPr>
              <w:spacing w:line="400" w:lineRule="exact"/>
              <w:jc w:val="center"/>
              <w:rPr>
                <w:rFonts w:ascii="宋体" w:hAnsi="宋体" w:eastAsia="宋体" w:cs="宋体"/>
                <w:spacing w:val="20"/>
                <w:sz w:val="24"/>
                <w:highlight w:val="none"/>
              </w:rPr>
            </w:pPr>
          </w:p>
        </w:tc>
      </w:tr>
    </w:tbl>
    <w:p>
      <w:pPr>
        <w:pStyle w:val="51"/>
        <w:snapToGrid w:val="0"/>
        <w:spacing w:line="400" w:lineRule="exact"/>
        <w:rPr>
          <w:rFonts w:hAnsi="宋体" w:cs="宋体"/>
          <w:sz w:val="24"/>
          <w:szCs w:val="24"/>
          <w:highlight w:val="none"/>
        </w:rPr>
      </w:pPr>
      <w:r>
        <w:rPr>
          <w:rFonts w:hint="eastAsia" w:hAnsi="宋体" w:cs="宋体"/>
          <w:sz w:val="24"/>
          <w:szCs w:val="24"/>
          <w:highlight w:val="none"/>
        </w:rPr>
        <w:t>注：1、投标人可按上述的格式自行编制，须随表提交相应的合同复印件并注明所在投标人资信文件页码。</w:t>
      </w:r>
    </w:p>
    <w:p>
      <w:pPr>
        <w:pStyle w:val="51"/>
        <w:numPr>
          <w:ilvl w:val="0"/>
          <w:numId w:val="4"/>
        </w:numPr>
        <w:snapToGrid w:val="0"/>
        <w:spacing w:line="400" w:lineRule="exact"/>
        <w:ind w:firstLine="472" w:firstLineChars="200"/>
        <w:rPr>
          <w:rFonts w:hAnsi="宋体" w:cs="宋体"/>
          <w:sz w:val="24"/>
          <w:szCs w:val="24"/>
          <w:highlight w:val="none"/>
        </w:rPr>
      </w:pPr>
      <w:r>
        <w:rPr>
          <w:rFonts w:hint="eastAsia" w:hAnsi="宋体" w:cs="宋体"/>
          <w:sz w:val="24"/>
          <w:szCs w:val="24"/>
          <w:highlight w:val="none"/>
        </w:rPr>
        <w:t>不录入此表的不作为评审依据。</w:t>
      </w:r>
    </w:p>
    <w:p>
      <w:pPr>
        <w:pStyle w:val="51"/>
        <w:snapToGrid w:val="0"/>
        <w:spacing w:line="400" w:lineRule="exact"/>
        <w:ind w:firstLine="472" w:firstLineChars="200"/>
        <w:rPr>
          <w:rFonts w:hAnsi="宋体" w:cs="宋体"/>
          <w:sz w:val="24"/>
          <w:szCs w:val="24"/>
          <w:highlight w:val="none"/>
        </w:rPr>
      </w:pPr>
      <w:r>
        <w:rPr>
          <w:rFonts w:hint="eastAsia" w:hAnsi="宋体" w:cs="宋体"/>
          <w:sz w:val="24"/>
          <w:szCs w:val="24"/>
          <w:highlight w:val="none"/>
        </w:rPr>
        <w:t xml:space="preserve">3、若投标人为联合体的，类似项目业绩由联合体成员各方合并提交。 </w:t>
      </w:r>
    </w:p>
    <w:p>
      <w:pPr>
        <w:pStyle w:val="51"/>
        <w:snapToGrid w:val="0"/>
        <w:spacing w:line="400" w:lineRule="exact"/>
        <w:rPr>
          <w:rFonts w:hAnsi="宋体" w:cs="宋体"/>
          <w:snapToGrid w:val="0"/>
          <w:sz w:val="24"/>
          <w:szCs w:val="24"/>
          <w:highlight w:val="none"/>
        </w:rPr>
      </w:pPr>
    </w:p>
    <w:p>
      <w:pPr>
        <w:pStyle w:val="51"/>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投标人（盖公章）：</w:t>
      </w:r>
    </w:p>
    <w:p>
      <w:pPr>
        <w:pStyle w:val="51"/>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法定代表人（负责人）或其委托代理人（签字或盖章）：</w:t>
      </w:r>
    </w:p>
    <w:p>
      <w:pPr>
        <w:pStyle w:val="51"/>
        <w:snapToGrid w:val="0"/>
        <w:spacing w:line="400" w:lineRule="exact"/>
        <w:rPr>
          <w:rFonts w:hAnsi="宋体" w:cs="宋体"/>
          <w:b/>
          <w:bCs/>
          <w:sz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b/>
          <w:bCs/>
          <w:sz w:val="24"/>
          <w:szCs w:val="24"/>
          <w:highlight w:val="none"/>
        </w:rPr>
      </w:pPr>
    </w:p>
    <w:p>
      <w:pPr>
        <w:pStyle w:val="51"/>
        <w:adjustRightInd w:val="0"/>
        <w:snapToGrid w:val="0"/>
        <w:spacing w:line="400" w:lineRule="exact"/>
        <w:jc w:val="center"/>
        <w:outlineLvl w:val="2"/>
        <w:rPr>
          <w:rFonts w:hAnsi="宋体" w:cs="宋体"/>
          <w:sz w:val="24"/>
          <w:szCs w:val="24"/>
          <w:highlight w:val="none"/>
        </w:rPr>
      </w:pPr>
      <w:r>
        <w:rPr>
          <w:rFonts w:hint="eastAsia" w:hAnsi="宋体" w:cs="宋体"/>
          <w:b/>
          <w:bCs/>
          <w:sz w:val="24"/>
          <w:szCs w:val="24"/>
          <w:highlight w:val="none"/>
        </w:rPr>
        <w:t>三、诚信廉洁承诺函</w:t>
      </w:r>
    </w:p>
    <w:p>
      <w:pPr>
        <w:pStyle w:val="8"/>
        <w:spacing w:line="400" w:lineRule="exact"/>
        <w:rPr>
          <w:rFonts w:ascii="宋体" w:hAnsi="宋体" w:cs="宋体"/>
          <w:sz w:val="24"/>
          <w:szCs w:val="24"/>
          <w:highlight w:val="none"/>
        </w:rPr>
      </w:pPr>
      <w:r>
        <w:rPr>
          <w:rFonts w:hint="eastAsia" w:ascii="宋体" w:hAnsi="宋体" w:cs="宋体"/>
          <w:sz w:val="24"/>
          <w:szCs w:val="24"/>
          <w:highlight w:val="none"/>
          <w:u w:val="single"/>
        </w:rPr>
        <w:t>杭州临江环境能源有限公司</w:t>
      </w:r>
      <w:r>
        <w:rPr>
          <w:rFonts w:hint="eastAsia" w:ascii="宋体" w:hAnsi="宋体" w:cs="宋体"/>
          <w:b/>
          <w:bCs/>
          <w:sz w:val="24"/>
          <w:szCs w:val="24"/>
          <w:highlight w:val="none"/>
        </w:rPr>
        <w:t>：</w:t>
      </w:r>
    </w:p>
    <w:p>
      <w:pPr>
        <w:spacing w:line="400" w:lineRule="exact"/>
        <w:ind w:firstLine="708" w:firstLineChars="300"/>
        <w:jc w:val="left"/>
        <w:rPr>
          <w:rFonts w:ascii="宋体" w:hAnsi="宋体" w:eastAsia="宋体" w:cs="宋体"/>
          <w:sz w:val="24"/>
          <w:highlight w:val="none"/>
        </w:rPr>
      </w:pPr>
      <w:r>
        <w:rPr>
          <w:rFonts w:hint="eastAsia" w:ascii="宋体" w:hAnsi="宋体" w:eastAsia="宋体" w:cs="宋体"/>
          <w:sz w:val="24"/>
          <w:highlight w:val="none"/>
          <w:u w:val="single"/>
        </w:rPr>
        <w:t>（投标人名称）</w:t>
      </w:r>
      <w:r>
        <w:rPr>
          <w:rFonts w:hint="eastAsia" w:ascii="宋体" w:hAnsi="宋体" w:eastAsia="宋体" w:cs="宋体"/>
          <w:sz w:val="24"/>
          <w:highlight w:val="none"/>
        </w:rPr>
        <w:t>承诺提供的信息（含投标资料、各项应答及承诺）是真实可靠，并能在价格有效期内忠实履行的。</w:t>
      </w:r>
    </w:p>
    <w:p>
      <w:pPr>
        <w:spacing w:line="400" w:lineRule="exact"/>
        <w:ind w:firstLine="708" w:firstLineChars="300"/>
        <w:jc w:val="left"/>
        <w:rPr>
          <w:rFonts w:ascii="宋体" w:hAnsi="宋体" w:eastAsia="宋体" w:cs="宋体"/>
          <w:sz w:val="24"/>
          <w:highlight w:val="none"/>
        </w:rPr>
      </w:pPr>
      <w:r>
        <w:rPr>
          <w:rFonts w:hint="eastAsia" w:ascii="宋体" w:hAnsi="宋体" w:eastAsia="宋体" w:cs="宋体"/>
          <w:sz w:val="24"/>
          <w:highlight w:val="none"/>
          <w:u w:val="single"/>
        </w:rPr>
        <w:t>（投标人名称）</w:t>
      </w:r>
      <w:r>
        <w:rPr>
          <w:rFonts w:hint="eastAsia" w:ascii="宋体" w:hAnsi="宋体" w:eastAsia="宋体" w:cs="宋体"/>
          <w:sz w:val="24"/>
          <w:highlight w:val="none"/>
        </w:rPr>
        <w:t>承诺在双方签订的采购合同中有以下条款：如经招标人查实，投标人在投标时针对本项目提供不实信息，或投标时所做的应答及承诺在中标后无法有效履行，招标人有权终止已签订的合同，没收中标方的履约保证金、单方面解除合同、暂停其投标人资格、暂停其所有款项的支付，如由此给招标人带来损失的，还应赔偿招标人的损失。</w:t>
      </w:r>
    </w:p>
    <w:p>
      <w:pPr>
        <w:spacing w:line="400" w:lineRule="exact"/>
        <w:ind w:firstLine="708" w:firstLineChars="300"/>
        <w:jc w:val="left"/>
        <w:rPr>
          <w:rFonts w:ascii="宋体" w:hAnsi="宋体" w:eastAsia="宋体" w:cs="宋体"/>
          <w:sz w:val="24"/>
          <w:highlight w:val="none"/>
        </w:rPr>
      </w:pPr>
      <w:r>
        <w:rPr>
          <w:rFonts w:hint="eastAsia" w:ascii="宋体" w:hAnsi="宋体" w:eastAsia="宋体" w:cs="宋体"/>
          <w:sz w:val="24"/>
          <w:highlight w:val="none"/>
          <w:u w:val="single"/>
        </w:rPr>
        <w:t>（投标人名称）</w:t>
      </w:r>
      <w:r>
        <w:rPr>
          <w:rFonts w:hint="eastAsia" w:ascii="宋体" w:hAnsi="宋体" w:eastAsia="宋体" w:cs="宋体"/>
          <w:sz w:val="24"/>
          <w:highlight w:val="none"/>
        </w:rPr>
        <w:t>承诺不对招标相关工作人员行贿，如投标人对招标相关工作人员行贿的，则招标人有权解除本合同，要求投标人赔偿因此所造成的损失；并保留在相关媒体或网站等对外发布的权利。</w:t>
      </w: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rPr>
          <w:rFonts w:ascii="宋体" w:hAnsi="宋体" w:eastAsia="宋体" w:cs="宋体"/>
          <w:sz w:val="24"/>
          <w:highlight w:val="none"/>
        </w:rPr>
      </w:pPr>
    </w:p>
    <w:p>
      <w:pPr>
        <w:spacing w:line="400" w:lineRule="exact"/>
        <w:rPr>
          <w:rFonts w:ascii="宋体" w:hAnsi="宋体" w:eastAsia="宋体" w:cs="宋体"/>
          <w:sz w:val="24"/>
          <w:highlight w:val="none"/>
        </w:rPr>
      </w:pPr>
    </w:p>
    <w:p>
      <w:pPr>
        <w:spacing w:line="400" w:lineRule="exact"/>
        <w:rPr>
          <w:rFonts w:ascii="宋体" w:hAnsi="宋体" w:eastAsia="宋体" w:cs="宋体"/>
          <w:sz w:val="24"/>
          <w:highlight w:val="none"/>
        </w:rPr>
      </w:pPr>
    </w:p>
    <w:p>
      <w:pPr>
        <w:pStyle w:val="13"/>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投标人（盖公章）：</w:t>
      </w:r>
    </w:p>
    <w:p>
      <w:pPr>
        <w:pStyle w:val="13"/>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法定代表人（负责人）或其委托代理人（签字或盖章）：</w:t>
      </w:r>
    </w:p>
    <w:p>
      <w:pPr>
        <w:pStyle w:val="51"/>
        <w:adjustRightInd w:val="0"/>
        <w:snapToGrid w:val="0"/>
        <w:spacing w:line="400" w:lineRule="exact"/>
        <w:rPr>
          <w:rFonts w:hAnsi="宋体" w:cs="宋体"/>
          <w:sz w:val="24"/>
          <w:szCs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p>
    <w:p>
      <w:pPr>
        <w:spacing w:line="400" w:lineRule="exact"/>
        <w:rPr>
          <w:rFonts w:ascii="宋体" w:hAnsi="宋体" w:eastAsia="宋体" w:cs="宋体"/>
          <w:sz w:val="24"/>
          <w:highlight w:val="none"/>
        </w:rPr>
      </w:pPr>
      <w:r>
        <w:rPr>
          <w:rFonts w:hint="eastAsia" w:ascii="宋体" w:hAnsi="宋体" w:eastAsia="宋体" w:cs="宋体"/>
          <w:sz w:val="24"/>
          <w:highlight w:val="none"/>
        </w:rPr>
        <w:br w:type="page"/>
      </w:r>
    </w:p>
    <w:p>
      <w:pPr>
        <w:adjustRightInd w:val="0"/>
        <w:snapToGrid w:val="0"/>
        <w:spacing w:line="400" w:lineRule="exact"/>
        <w:jc w:val="center"/>
        <w:outlineLvl w:val="2"/>
        <w:rPr>
          <w:rFonts w:ascii="宋体" w:hAnsi="宋体" w:eastAsia="宋体" w:cs="宋体"/>
          <w:b/>
          <w:bCs/>
          <w:kern w:val="0"/>
          <w:sz w:val="24"/>
          <w:highlight w:val="none"/>
        </w:rPr>
      </w:pPr>
      <w:r>
        <w:rPr>
          <w:rFonts w:hint="eastAsia" w:ascii="宋体" w:hAnsi="宋体" w:eastAsia="宋体" w:cs="宋体"/>
          <w:b/>
          <w:bCs/>
          <w:kern w:val="0"/>
          <w:sz w:val="24"/>
          <w:highlight w:val="none"/>
        </w:rPr>
        <w:t>四、投标人认为有必要的其他内容等</w:t>
      </w:r>
    </w:p>
    <w:p>
      <w:pPr>
        <w:adjustRightInd w:val="0"/>
        <w:snapToGrid w:val="0"/>
        <w:spacing w:line="400" w:lineRule="exact"/>
        <w:rPr>
          <w:rFonts w:ascii="宋体" w:hAnsi="宋体" w:eastAsia="宋体" w:cs="宋体"/>
          <w:sz w:val="24"/>
          <w:highlight w:val="none"/>
        </w:rPr>
      </w:pPr>
    </w:p>
    <w:p>
      <w:pPr>
        <w:adjustRightInd w:val="0"/>
        <w:snapToGrid w:val="0"/>
        <w:spacing w:line="400" w:lineRule="exact"/>
        <w:rPr>
          <w:rFonts w:ascii="宋体" w:hAnsi="宋体" w:eastAsia="宋体" w:cs="宋体"/>
          <w:sz w:val="24"/>
          <w:highlight w:val="none"/>
        </w:rPr>
      </w:pPr>
    </w:p>
    <w:p>
      <w:pPr>
        <w:adjustRightInd w:val="0"/>
        <w:snapToGrid w:val="0"/>
        <w:spacing w:line="400" w:lineRule="exact"/>
        <w:rPr>
          <w:rFonts w:ascii="宋体" w:hAnsi="宋体" w:eastAsia="宋体" w:cs="宋体"/>
          <w:sz w:val="24"/>
          <w:highlight w:val="none"/>
        </w:rPr>
      </w:pPr>
    </w:p>
    <w:p>
      <w:pPr>
        <w:adjustRightInd w:val="0"/>
        <w:snapToGrid w:val="0"/>
        <w:spacing w:line="400" w:lineRule="exact"/>
        <w:rPr>
          <w:rFonts w:ascii="宋体" w:hAnsi="宋体" w:eastAsia="宋体" w:cs="宋体"/>
          <w:sz w:val="24"/>
          <w:highlight w:val="none"/>
        </w:rPr>
      </w:pPr>
    </w:p>
    <w:p>
      <w:pPr>
        <w:spacing w:before="65" w:line="400" w:lineRule="exact"/>
        <w:ind w:firstLine="1"/>
        <w:rPr>
          <w:rFonts w:ascii="宋体" w:hAnsi="宋体" w:eastAsia="宋体" w:cs="宋体"/>
          <w:sz w:val="24"/>
          <w:highlight w:val="none"/>
        </w:rPr>
      </w:pPr>
      <w:r>
        <w:rPr>
          <w:rFonts w:hint="eastAsia" w:ascii="宋体" w:hAnsi="宋体" w:eastAsia="宋体" w:cs="宋体"/>
          <w:spacing w:val="8"/>
          <w:sz w:val="24"/>
          <w:highlight w:val="none"/>
        </w:rPr>
        <w:t>投</w:t>
      </w:r>
      <w:r>
        <w:rPr>
          <w:rFonts w:hint="eastAsia" w:ascii="宋体" w:hAnsi="宋体" w:eastAsia="宋体" w:cs="宋体"/>
          <w:spacing w:val="7"/>
          <w:sz w:val="24"/>
          <w:highlight w:val="none"/>
        </w:rPr>
        <w:t>标人（盖公章</w:t>
      </w:r>
      <w:r>
        <w:rPr>
          <w:rFonts w:hint="eastAsia" w:ascii="宋体" w:hAnsi="宋体" w:eastAsia="宋体" w:cs="宋体"/>
          <w:spacing w:val="10"/>
          <w:sz w:val="24"/>
          <w:highlight w:val="none"/>
        </w:rPr>
        <w:t>）：</w:t>
      </w:r>
    </w:p>
    <w:p>
      <w:pPr>
        <w:spacing w:before="162" w:line="400" w:lineRule="exact"/>
        <w:rPr>
          <w:rFonts w:ascii="宋体" w:hAnsi="宋体" w:eastAsia="宋体" w:cs="宋体"/>
          <w:sz w:val="24"/>
          <w:highlight w:val="none"/>
        </w:rPr>
      </w:pPr>
      <w:r>
        <w:rPr>
          <w:rFonts w:hint="eastAsia" w:ascii="宋体" w:hAnsi="宋体" w:eastAsia="宋体" w:cs="宋体"/>
          <w:spacing w:val="9"/>
          <w:sz w:val="24"/>
          <w:highlight w:val="none"/>
        </w:rPr>
        <w:t>法定代表人</w:t>
      </w:r>
      <w:r>
        <w:rPr>
          <w:rFonts w:hint="eastAsia" w:ascii="宋体" w:hAnsi="宋体" w:eastAsia="宋体" w:cs="宋体"/>
          <w:snapToGrid w:val="0"/>
          <w:kern w:val="0"/>
          <w:sz w:val="24"/>
          <w:highlight w:val="none"/>
        </w:rPr>
        <w:t>（负责人）</w:t>
      </w:r>
      <w:r>
        <w:rPr>
          <w:rFonts w:hint="eastAsia" w:ascii="宋体" w:hAnsi="宋体" w:eastAsia="宋体" w:cs="宋体"/>
          <w:spacing w:val="9"/>
          <w:sz w:val="24"/>
          <w:highlight w:val="none"/>
        </w:rPr>
        <w:t>或其委托代理人（签字或</w:t>
      </w:r>
      <w:r>
        <w:rPr>
          <w:rFonts w:hint="eastAsia" w:ascii="宋体" w:hAnsi="宋体" w:eastAsia="宋体" w:cs="宋体"/>
          <w:spacing w:val="8"/>
          <w:sz w:val="24"/>
          <w:highlight w:val="none"/>
        </w:rPr>
        <w:t>盖章</w:t>
      </w:r>
      <w:r>
        <w:rPr>
          <w:rFonts w:hint="eastAsia" w:ascii="宋体" w:hAnsi="宋体" w:eastAsia="宋体" w:cs="宋体"/>
          <w:spacing w:val="10"/>
          <w:sz w:val="24"/>
          <w:highlight w:val="none"/>
        </w:rPr>
        <w:t>）：</w:t>
      </w:r>
    </w:p>
    <w:p>
      <w:pPr>
        <w:spacing w:before="161" w:line="400" w:lineRule="exact"/>
        <w:ind w:firstLine="35"/>
        <w:rPr>
          <w:rFonts w:ascii="宋体" w:hAnsi="宋体" w:eastAsia="宋体" w:cs="宋体"/>
          <w:sz w:val="24"/>
          <w:highlight w:val="none"/>
        </w:rPr>
      </w:pPr>
      <w:r>
        <w:rPr>
          <w:rFonts w:hint="eastAsia" w:ascii="宋体" w:hAnsi="宋体" w:eastAsia="宋体" w:cs="宋体"/>
          <w:spacing w:val="1"/>
          <w:sz w:val="24"/>
          <w:highlight w:val="none"/>
        </w:rPr>
        <w:t>日期：年月   日</w:t>
      </w:r>
    </w:p>
    <w:p>
      <w:pPr>
        <w:adjustRightInd w:val="0"/>
        <w:snapToGrid w:val="0"/>
        <w:spacing w:line="400" w:lineRule="exact"/>
        <w:jc w:val="center"/>
        <w:rPr>
          <w:rFonts w:ascii="宋体" w:hAnsi="宋体" w:eastAsia="宋体" w:cs="宋体"/>
          <w:b/>
          <w:bCs/>
          <w:sz w:val="24"/>
          <w:highlight w:val="none"/>
        </w:rPr>
      </w:pPr>
      <w:r>
        <w:rPr>
          <w:rFonts w:hint="eastAsia" w:ascii="宋体" w:hAnsi="宋体" w:eastAsia="宋体" w:cs="宋体"/>
          <w:sz w:val="24"/>
          <w:highlight w:val="none"/>
        </w:rPr>
        <w:br w:type="page"/>
      </w:r>
      <w:bookmarkStart w:id="123" w:name="_Toc83886046"/>
    </w:p>
    <w:p>
      <w:pPr>
        <w:adjustRightInd w:val="0"/>
        <w:snapToGrid w:val="0"/>
        <w:spacing w:line="400" w:lineRule="exact"/>
        <w:jc w:val="center"/>
        <w:outlineLvl w:val="1"/>
        <w:rPr>
          <w:rFonts w:ascii="宋体" w:hAnsi="宋体" w:eastAsia="宋体" w:cs="宋体"/>
          <w:b/>
          <w:bCs/>
          <w:sz w:val="24"/>
          <w:highlight w:val="none"/>
        </w:rPr>
      </w:pPr>
      <w:r>
        <w:rPr>
          <w:rFonts w:hint="eastAsia" w:ascii="宋体" w:hAnsi="宋体" w:eastAsia="宋体" w:cs="宋体"/>
          <w:b/>
          <w:bCs/>
          <w:sz w:val="24"/>
          <w:highlight w:val="none"/>
        </w:rPr>
        <w:t>第四部分、技术文件</w:t>
      </w:r>
      <w:bookmarkEnd w:id="123"/>
    </w:p>
    <w:p>
      <w:pPr>
        <w:snapToGrid w:val="0"/>
        <w:spacing w:line="400" w:lineRule="exact"/>
        <w:jc w:val="center"/>
        <w:rPr>
          <w:rFonts w:ascii="宋体" w:hAnsi="宋体" w:eastAsia="宋体" w:cs="宋体"/>
          <w:b/>
          <w:bCs/>
          <w:sz w:val="24"/>
          <w:highlight w:val="none"/>
        </w:rPr>
      </w:pPr>
      <w:bookmarkStart w:id="124" w:name="_Toc20079"/>
    </w:p>
    <w:p>
      <w:pPr>
        <w:snapToGrid w:val="0"/>
        <w:spacing w:line="400" w:lineRule="exact"/>
        <w:jc w:val="center"/>
        <w:outlineLvl w:val="2"/>
        <w:rPr>
          <w:rFonts w:ascii="宋体" w:hAnsi="宋体" w:eastAsia="宋体" w:cs="宋体"/>
          <w:b/>
          <w:bCs/>
          <w:sz w:val="24"/>
          <w:highlight w:val="none"/>
        </w:rPr>
      </w:pPr>
      <w:r>
        <w:rPr>
          <w:rFonts w:hint="eastAsia" w:ascii="宋体" w:hAnsi="宋体" w:eastAsia="宋体" w:cs="宋体"/>
          <w:b/>
          <w:bCs/>
          <w:sz w:val="24"/>
          <w:highlight w:val="none"/>
        </w:rPr>
        <w:t>一、技术与服务解决方案</w:t>
      </w:r>
    </w:p>
    <w:p>
      <w:pPr>
        <w:spacing w:line="400" w:lineRule="exact"/>
        <w:rPr>
          <w:rFonts w:ascii="宋体" w:hAnsi="宋体" w:eastAsia="宋体" w:cs="宋体"/>
          <w:bCs/>
          <w:sz w:val="24"/>
          <w:highlight w:val="none"/>
        </w:rPr>
      </w:pPr>
      <w:r>
        <w:rPr>
          <w:rFonts w:hint="eastAsia" w:ascii="宋体" w:hAnsi="宋体" w:eastAsia="宋体" w:cs="宋体"/>
          <w:bCs/>
          <w:sz w:val="24"/>
          <w:highlight w:val="none"/>
        </w:rPr>
        <w:t>1.</w:t>
      </w:r>
      <w:r>
        <w:rPr>
          <w:rFonts w:hint="eastAsia" w:cs="仿宋_GB2312"/>
          <w:sz w:val="24"/>
          <w:highlight w:val="none"/>
        </w:rPr>
        <w:t>技术方案</w:t>
      </w:r>
    </w:p>
    <w:p>
      <w:pPr>
        <w:spacing w:line="400" w:lineRule="exact"/>
        <w:jc w:val="center"/>
        <w:rPr>
          <w:rFonts w:ascii="宋体" w:hAnsi="宋体" w:eastAsia="宋体" w:cs="宋体"/>
          <w:b/>
          <w:bCs/>
          <w:sz w:val="24"/>
          <w:highlight w:val="none"/>
        </w:rPr>
      </w:pPr>
      <w:r>
        <w:rPr>
          <w:rFonts w:hint="eastAsia" w:ascii="宋体" w:hAnsi="宋体" w:eastAsia="宋体" w:cs="宋体"/>
          <w:sz w:val="24"/>
          <w:highlight w:val="none"/>
        </w:rPr>
        <w:t>（由投标人根据招标需求及招标文件要求编制）</w:t>
      </w:r>
    </w:p>
    <w:p>
      <w:pPr>
        <w:spacing w:line="400" w:lineRule="exact"/>
        <w:rPr>
          <w:rFonts w:hint="eastAsia"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2.应急保障</w:t>
      </w:r>
    </w:p>
    <w:p>
      <w:pPr>
        <w:spacing w:line="400" w:lineRule="exact"/>
        <w:jc w:val="center"/>
        <w:rPr>
          <w:rFonts w:hint="eastAsia" w:ascii="宋体" w:hAnsi="宋体" w:eastAsia="宋体" w:cs="宋体"/>
          <w:sz w:val="24"/>
          <w:highlight w:val="none"/>
        </w:rPr>
      </w:pPr>
      <w:r>
        <w:rPr>
          <w:rFonts w:hint="eastAsia" w:ascii="宋体" w:hAnsi="宋体" w:eastAsia="宋体" w:cs="宋体"/>
          <w:sz w:val="24"/>
          <w:highlight w:val="none"/>
        </w:rPr>
        <w:t>（由投标人根据招标需求及招标文件要求编制）</w:t>
      </w:r>
    </w:p>
    <w:p>
      <w:pPr>
        <w:spacing w:line="400" w:lineRule="exact"/>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3</w:t>
      </w:r>
      <w:r>
        <w:rPr>
          <w:rFonts w:hint="eastAsia" w:ascii="宋体" w:hAnsi="宋体" w:eastAsia="宋体" w:cs="宋体"/>
          <w:bCs/>
          <w:sz w:val="24"/>
          <w:highlight w:val="none"/>
        </w:rPr>
        <w:t>.质量保证</w:t>
      </w:r>
    </w:p>
    <w:p>
      <w:pPr>
        <w:spacing w:line="400" w:lineRule="exact"/>
        <w:jc w:val="center"/>
        <w:rPr>
          <w:rFonts w:hint="eastAsia" w:ascii="宋体" w:hAnsi="宋体" w:eastAsia="宋体" w:cs="宋体"/>
          <w:sz w:val="24"/>
          <w:highlight w:val="none"/>
        </w:rPr>
      </w:pPr>
      <w:r>
        <w:rPr>
          <w:rFonts w:hint="eastAsia" w:ascii="宋体" w:hAnsi="宋体" w:eastAsia="宋体" w:cs="宋体"/>
          <w:sz w:val="24"/>
          <w:highlight w:val="none"/>
        </w:rPr>
        <w:t>（由投标人根据招标需求及招标文件要求编制）</w:t>
      </w:r>
    </w:p>
    <w:p>
      <w:pPr>
        <w:spacing w:line="400" w:lineRule="exact"/>
        <w:rPr>
          <w:rFonts w:hint="eastAsia" w:ascii="仿宋_GB2312" w:hAnsi="仿宋_GB2312" w:eastAsia="仿宋_GB2312" w:cs="仿宋_GB2312"/>
          <w:bCs/>
          <w:sz w:val="24"/>
          <w:highlight w:val="none"/>
          <w:lang w:val="en-US" w:eastAsia="zh-CN"/>
        </w:rPr>
      </w:pPr>
      <w:r>
        <w:rPr>
          <w:rFonts w:hint="eastAsia" w:ascii="仿宋_GB2312" w:hAnsi="仿宋_GB2312" w:eastAsia="仿宋_GB2312" w:cs="仿宋_GB2312"/>
          <w:bCs/>
          <w:sz w:val="24"/>
          <w:highlight w:val="none"/>
          <w:lang w:val="en-US" w:eastAsia="zh-CN"/>
        </w:rPr>
        <w:t>4</w:t>
      </w:r>
      <w:r>
        <w:rPr>
          <w:rFonts w:hint="eastAsia" w:ascii="仿宋_GB2312" w:hAnsi="仿宋_GB2312" w:eastAsia="仿宋_GB2312" w:cs="仿宋_GB2312"/>
          <w:bCs/>
          <w:sz w:val="24"/>
          <w:highlight w:val="none"/>
        </w:rPr>
        <w:t>.</w:t>
      </w:r>
      <w:r>
        <w:rPr>
          <w:rFonts w:hint="eastAsia" w:ascii="仿宋_GB2312" w:hAnsi="仿宋_GB2312" w:eastAsia="仿宋_GB2312" w:cs="仿宋_GB2312"/>
          <w:bCs/>
          <w:sz w:val="24"/>
          <w:highlight w:val="none"/>
          <w:lang w:val="en-US" w:eastAsia="zh-CN"/>
        </w:rPr>
        <w:t>增值服务</w:t>
      </w:r>
    </w:p>
    <w:p>
      <w:pPr>
        <w:spacing w:line="400" w:lineRule="exact"/>
        <w:jc w:val="center"/>
        <w:rPr>
          <w:rFonts w:hint="eastAsia" w:ascii="宋体" w:hAnsi="宋体" w:eastAsia="宋体" w:cs="宋体"/>
          <w:sz w:val="24"/>
          <w:highlight w:val="none"/>
        </w:rPr>
      </w:pPr>
      <w:r>
        <w:rPr>
          <w:rFonts w:hint="eastAsia" w:ascii="宋体" w:hAnsi="宋体" w:eastAsia="宋体" w:cs="宋体"/>
          <w:sz w:val="24"/>
          <w:highlight w:val="none"/>
        </w:rPr>
        <w:t>（由投标人根据招标需求及招标文件要求编制）</w:t>
      </w:r>
    </w:p>
    <w:p>
      <w:pPr>
        <w:snapToGrid w:val="0"/>
        <w:spacing w:line="400" w:lineRule="exact"/>
        <w:jc w:val="center"/>
        <w:rPr>
          <w:rFonts w:ascii="宋体" w:hAnsi="宋体" w:eastAsia="宋体" w:cs="宋体"/>
          <w:b/>
          <w:sz w:val="24"/>
          <w:highlight w:val="none"/>
        </w:rPr>
      </w:pPr>
    </w:p>
    <w:p>
      <w:pPr>
        <w:spacing w:line="400" w:lineRule="exact"/>
        <w:rPr>
          <w:highlight w:val="none"/>
        </w:rPr>
      </w:pPr>
      <w:r>
        <w:rPr>
          <w:rFonts w:hint="eastAsia" w:ascii="宋体" w:hAnsi="宋体" w:eastAsia="宋体" w:cs="宋体"/>
          <w:highlight w:val="none"/>
        </w:rPr>
        <w:br w:type="page"/>
      </w:r>
    </w:p>
    <w:p>
      <w:pPr>
        <w:spacing w:line="400" w:lineRule="exact"/>
        <w:jc w:val="center"/>
        <w:outlineLvl w:val="2"/>
        <w:rPr>
          <w:rFonts w:ascii="宋体" w:hAnsi="宋体" w:eastAsia="宋体" w:cs="宋体"/>
          <w:b/>
          <w:bCs/>
          <w:sz w:val="24"/>
          <w:highlight w:val="none"/>
          <w:lang w:val="zh-CN"/>
        </w:rPr>
      </w:pPr>
      <w:r>
        <w:rPr>
          <w:rFonts w:hint="eastAsia" w:ascii="宋体" w:hAnsi="宋体" w:eastAsia="宋体" w:cs="宋体"/>
          <w:b/>
          <w:kern w:val="0"/>
          <w:sz w:val="24"/>
          <w:highlight w:val="none"/>
        </w:rPr>
        <w:t>二、</w:t>
      </w:r>
      <w:r>
        <w:rPr>
          <w:rFonts w:hint="eastAsia" w:ascii="宋体" w:hAnsi="宋体" w:eastAsia="宋体" w:cs="宋体"/>
          <w:b/>
          <w:bCs/>
          <w:sz w:val="24"/>
          <w:highlight w:val="none"/>
        </w:rPr>
        <w:t>技术</w:t>
      </w:r>
      <w:r>
        <w:rPr>
          <w:rFonts w:hint="eastAsia" w:ascii="宋体" w:hAnsi="宋体" w:eastAsia="宋体" w:cs="宋体"/>
          <w:b/>
          <w:bCs/>
          <w:sz w:val="24"/>
          <w:highlight w:val="none"/>
          <w:lang w:val="zh-CN"/>
        </w:rPr>
        <w:t>优惠条件及特殊承诺</w:t>
      </w:r>
    </w:p>
    <w:p>
      <w:pPr>
        <w:spacing w:line="400" w:lineRule="exact"/>
        <w:jc w:val="center"/>
        <w:rPr>
          <w:rFonts w:ascii="宋体" w:hAnsi="宋体" w:eastAsia="宋体" w:cs="宋体"/>
          <w:sz w:val="24"/>
          <w:highlight w:val="none"/>
        </w:rPr>
      </w:pPr>
      <w:r>
        <w:rPr>
          <w:rFonts w:hint="eastAsia" w:ascii="宋体" w:hAnsi="宋体" w:eastAsia="宋体" w:cs="宋体"/>
          <w:sz w:val="24"/>
          <w:highlight w:val="none"/>
        </w:rPr>
        <w:t>（由投标人根据招标需求自行编制）</w:t>
      </w:r>
    </w:p>
    <w:p>
      <w:pPr>
        <w:spacing w:line="400" w:lineRule="exact"/>
        <w:jc w:val="center"/>
        <w:rPr>
          <w:rFonts w:ascii="宋体" w:hAnsi="宋体" w:eastAsia="宋体" w:cs="宋体"/>
          <w:sz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p>
    <w:p>
      <w:pPr>
        <w:pStyle w:val="13"/>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投标人（盖公章）：</w:t>
      </w:r>
    </w:p>
    <w:p>
      <w:pPr>
        <w:pStyle w:val="13"/>
        <w:snapToGrid w:val="0"/>
        <w:spacing w:line="400" w:lineRule="exact"/>
        <w:rPr>
          <w:rFonts w:hAnsi="宋体" w:cs="宋体"/>
          <w:snapToGrid w:val="0"/>
          <w:sz w:val="24"/>
          <w:szCs w:val="24"/>
          <w:highlight w:val="none"/>
        </w:rPr>
      </w:pPr>
      <w:r>
        <w:rPr>
          <w:rFonts w:hint="eastAsia" w:hAnsi="宋体" w:cs="宋体"/>
          <w:snapToGrid w:val="0"/>
          <w:sz w:val="24"/>
          <w:szCs w:val="24"/>
          <w:highlight w:val="none"/>
        </w:rPr>
        <w:t>法定代表人或其委托代理人（签字或盖章）：</w:t>
      </w:r>
    </w:p>
    <w:p>
      <w:pPr>
        <w:pStyle w:val="51"/>
        <w:adjustRightInd w:val="0"/>
        <w:snapToGrid w:val="0"/>
        <w:spacing w:line="400" w:lineRule="exact"/>
        <w:rPr>
          <w:rFonts w:hAnsi="宋体" w:cs="宋体"/>
          <w:sz w:val="24"/>
          <w:szCs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p>
    <w:p>
      <w:pPr>
        <w:pStyle w:val="51"/>
        <w:adjustRightInd w:val="0"/>
        <w:snapToGrid w:val="0"/>
        <w:spacing w:line="400" w:lineRule="exact"/>
        <w:rPr>
          <w:rFonts w:hAnsi="宋体" w:cs="宋体"/>
          <w:sz w:val="24"/>
          <w:szCs w:val="24"/>
          <w:highlight w:val="none"/>
        </w:rPr>
      </w:pPr>
    </w:p>
    <w:p>
      <w:pPr>
        <w:pStyle w:val="51"/>
        <w:adjustRightInd w:val="0"/>
        <w:snapToGrid w:val="0"/>
        <w:spacing w:line="400" w:lineRule="exact"/>
        <w:rPr>
          <w:rFonts w:hAnsi="宋体" w:cs="宋体"/>
          <w:sz w:val="24"/>
          <w:szCs w:val="24"/>
          <w:highlight w:val="none"/>
        </w:rPr>
      </w:pPr>
    </w:p>
    <w:p>
      <w:pPr>
        <w:spacing w:line="400" w:lineRule="exact"/>
        <w:rPr>
          <w:rFonts w:ascii="宋体" w:hAnsi="宋体" w:eastAsia="宋体" w:cs="宋体"/>
          <w:b/>
          <w:bCs/>
          <w:sz w:val="24"/>
          <w:highlight w:val="none"/>
        </w:rPr>
      </w:pPr>
    </w:p>
    <w:p>
      <w:pPr>
        <w:pStyle w:val="2"/>
        <w:spacing w:line="400" w:lineRule="exact"/>
        <w:rPr>
          <w:rFonts w:ascii="宋体" w:hAnsi="宋体" w:cs="宋体"/>
          <w:b/>
          <w:bCs/>
          <w:sz w:val="24"/>
          <w:highlight w:val="none"/>
        </w:rPr>
      </w:pPr>
    </w:p>
    <w:p>
      <w:pPr>
        <w:rPr>
          <w:rFonts w:ascii="宋体" w:hAnsi="宋体" w:eastAsia="宋体" w:cs="宋体"/>
          <w:b/>
          <w:bCs/>
          <w:sz w:val="24"/>
          <w:highlight w:val="none"/>
        </w:rPr>
      </w:pPr>
    </w:p>
    <w:p>
      <w:pPr>
        <w:rPr>
          <w:rFonts w:ascii="宋体" w:hAnsi="宋体" w:eastAsia="宋体" w:cs="宋体"/>
          <w:b/>
          <w:bCs/>
          <w:sz w:val="24"/>
          <w:highlight w:val="none"/>
        </w:rPr>
      </w:pPr>
    </w:p>
    <w:p>
      <w:pPr>
        <w:rPr>
          <w:rFonts w:ascii="宋体" w:hAnsi="宋体" w:eastAsia="宋体" w:cs="宋体"/>
          <w:b/>
          <w:bCs/>
          <w:sz w:val="24"/>
          <w:highlight w:val="none"/>
        </w:rPr>
      </w:pPr>
    </w:p>
    <w:p>
      <w:pPr>
        <w:rPr>
          <w:rFonts w:ascii="宋体" w:hAnsi="宋体" w:eastAsia="宋体" w:cs="宋体"/>
          <w:b/>
          <w:bCs/>
          <w:sz w:val="24"/>
          <w:highlight w:val="none"/>
        </w:rPr>
      </w:pPr>
    </w:p>
    <w:p>
      <w:pPr>
        <w:rPr>
          <w:rFonts w:ascii="宋体" w:hAnsi="宋体" w:eastAsia="宋体" w:cs="宋体"/>
          <w:b/>
          <w:bCs/>
          <w:sz w:val="24"/>
          <w:highlight w:val="none"/>
        </w:rPr>
      </w:pPr>
    </w:p>
    <w:p>
      <w:pPr>
        <w:rPr>
          <w:rFonts w:ascii="宋体" w:hAnsi="宋体" w:eastAsia="宋体" w:cs="宋体"/>
          <w:b/>
          <w:bCs/>
          <w:sz w:val="24"/>
          <w:highlight w:val="none"/>
        </w:rPr>
      </w:pPr>
    </w:p>
    <w:p>
      <w:pPr>
        <w:spacing w:line="400" w:lineRule="exact"/>
        <w:rPr>
          <w:rFonts w:ascii="宋体" w:hAnsi="宋体" w:eastAsia="宋体" w:cs="宋体"/>
          <w:b/>
          <w:bCs/>
          <w:sz w:val="24"/>
          <w:highlight w:val="none"/>
        </w:rPr>
      </w:pPr>
    </w:p>
    <w:p>
      <w:pPr>
        <w:pStyle w:val="2"/>
        <w:spacing w:line="400" w:lineRule="exact"/>
        <w:rPr>
          <w:rFonts w:ascii="宋体" w:hAnsi="宋体" w:cs="宋体"/>
          <w:highlight w:val="none"/>
        </w:rPr>
      </w:pPr>
    </w:p>
    <w:p>
      <w:pPr>
        <w:spacing w:line="400" w:lineRule="exact"/>
        <w:jc w:val="center"/>
        <w:outlineLvl w:val="2"/>
        <w:rPr>
          <w:rFonts w:ascii="宋体" w:hAnsi="宋体" w:eastAsia="宋体" w:cs="宋体"/>
          <w:bCs/>
          <w:sz w:val="24"/>
          <w:highlight w:val="none"/>
        </w:rPr>
      </w:pPr>
      <w:r>
        <w:rPr>
          <w:rFonts w:hint="eastAsia" w:ascii="宋体" w:hAnsi="宋体" w:eastAsia="宋体" w:cs="宋体"/>
          <w:b/>
          <w:bCs/>
          <w:sz w:val="24"/>
          <w:highlight w:val="none"/>
        </w:rPr>
        <w:t>三、</w:t>
      </w:r>
      <w:r>
        <w:rPr>
          <w:rFonts w:hint="eastAsia" w:ascii="宋体" w:hAnsi="宋体" w:eastAsia="宋体" w:cs="宋体"/>
          <w:b/>
          <w:kern w:val="0"/>
          <w:sz w:val="24"/>
          <w:highlight w:val="none"/>
        </w:rPr>
        <w:t>技术偏离表</w:t>
      </w:r>
      <w:bookmarkEnd w:id="124"/>
    </w:p>
    <w:p>
      <w:pPr>
        <w:adjustRightInd w:val="0"/>
        <w:snapToGrid w:val="0"/>
        <w:spacing w:line="400" w:lineRule="exact"/>
        <w:ind w:firstLine="472" w:firstLineChars="200"/>
        <w:rPr>
          <w:rFonts w:ascii="宋体" w:hAnsi="宋体" w:eastAsia="宋体" w:cs="宋体"/>
          <w:sz w:val="24"/>
          <w:highlight w:val="none"/>
        </w:rPr>
      </w:pPr>
      <w:r>
        <w:rPr>
          <w:rFonts w:hint="eastAsia" w:ascii="宋体" w:hAnsi="宋体" w:eastAsia="宋体" w:cs="宋体"/>
          <w:sz w:val="24"/>
          <w:highlight w:val="none"/>
        </w:rPr>
        <w:t>投标人应根据其投标文件响应情况，对照招标文件的要求，有差异的，则在表中写明实际响应的具体内容。</w:t>
      </w:r>
    </w:p>
    <w:tbl>
      <w:tblPr>
        <w:tblStyle w:val="25"/>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72"/>
        <w:gridCol w:w="2050"/>
        <w:gridCol w:w="1050"/>
        <w:gridCol w:w="2190"/>
        <w:gridCol w:w="1110"/>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restart"/>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序号</w:t>
            </w:r>
          </w:p>
        </w:tc>
        <w:tc>
          <w:tcPr>
            <w:tcW w:w="2922" w:type="dxa"/>
            <w:gridSpan w:val="2"/>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招标文件要求</w:t>
            </w:r>
          </w:p>
        </w:tc>
        <w:tc>
          <w:tcPr>
            <w:tcW w:w="3240" w:type="dxa"/>
            <w:gridSpan w:val="2"/>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投标文件内容</w:t>
            </w:r>
          </w:p>
        </w:tc>
        <w:tc>
          <w:tcPr>
            <w:tcW w:w="1110" w:type="dxa"/>
            <w:vMerge w:val="restart"/>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是否响应</w:t>
            </w:r>
          </w:p>
        </w:tc>
        <w:tc>
          <w:tcPr>
            <w:tcW w:w="1081" w:type="dxa"/>
            <w:vMerge w:val="restart"/>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continue"/>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条目</w:t>
            </w:r>
          </w:p>
        </w:tc>
        <w:tc>
          <w:tcPr>
            <w:tcW w:w="2050"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简要内容</w:t>
            </w:r>
          </w:p>
        </w:tc>
        <w:tc>
          <w:tcPr>
            <w:tcW w:w="1050"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条目</w:t>
            </w:r>
          </w:p>
        </w:tc>
        <w:tc>
          <w:tcPr>
            <w:tcW w:w="2190" w:type="dxa"/>
            <w:vAlign w:val="center"/>
          </w:tcPr>
          <w:p>
            <w:pPr>
              <w:adjustRightInd w:val="0"/>
              <w:snapToGri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实际响应的具体内容</w:t>
            </w:r>
          </w:p>
        </w:tc>
        <w:tc>
          <w:tcPr>
            <w:tcW w:w="1110" w:type="dxa"/>
            <w:vMerge w:val="continue"/>
            <w:vAlign w:val="center"/>
          </w:tcPr>
          <w:p>
            <w:pPr>
              <w:adjustRightInd w:val="0"/>
              <w:snapToGrid w:val="0"/>
              <w:spacing w:line="400" w:lineRule="exact"/>
              <w:jc w:val="center"/>
              <w:rPr>
                <w:rFonts w:ascii="宋体" w:hAnsi="宋体" w:eastAsia="宋体" w:cs="宋体"/>
                <w:sz w:val="24"/>
                <w:highlight w:val="none"/>
              </w:rPr>
            </w:pPr>
          </w:p>
        </w:tc>
        <w:tc>
          <w:tcPr>
            <w:tcW w:w="1081" w:type="dxa"/>
            <w:vMerge w:val="continue"/>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highlight w:val="none"/>
              </w:rPr>
            </w:pPr>
          </w:p>
        </w:tc>
        <w:tc>
          <w:tcPr>
            <w:tcW w:w="872" w:type="dxa"/>
            <w:vAlign w:val="center"/>
          </w:tcPr>
          <w:p>
            <w:pPr>
              <w:adjustRightInd w:val="0"/>
              <w:snapToGrid w:val="0"/>
              <w:spacing w:line="400" w:lineRule="exact"/>
              <w:jc w:val="center"/>
              <w:rPr>
                <w:rFonts w:ascii="宋体" w:hAnsi="宋体" w:eastAsia="宋体" w:cs="宋体"/>
                <w:sz w:val="24"/>
                <w:highlight w:val="none"/>
              </w:rPr>
            </w:pPr>
          </w:p>
        </w:tc>
        <w:tc>
          <w:tcPr>
            <w:tcW w:w="2050" w:type="dxa"/>
            <w:vAlign w:val="center"/>
          </w:tcPr>
          <w:p>
            <w:pPr>
              <w:adjustRightInd w:val="0"/>
              <w:snapToGrid w:val="0"/>
              <w:spacing w:line="400" w:lineRule="exact"/>
              <w:jc w:val="center"/>
              <w:rPr>
                <w:rFonts w:ascii="宋体" w:hAnsi="宋体" w:eastAsia="宋体" w:cs="宋体"/>
                <w:sz w:val="24"/>
                <w:highlight w:val="none"/>
              </w:rPr>
            </w:pPr>
          </w:p>
        </w:tc>
        <w:tc>
          <w:tcPr>
            <w:tcW w:w="1050" w:type="dxa"/>
            <w:vAlign w:val="center"/>
          </w:tcPr>
          <w:p>
            <w:pPr>
              <w:adjustRightInd w:val="0"/>
              <w:snapToGrid w:val="0"/>
              <w:spacing w:line="400" w:lineRule="exact"/>
              <w:jc w:val="center"/>
              <w:rPr>
                <w:rFonts w:ascii="宋体" w:hAnsi="宋体" w:eastAsia="宋体" w:cs="宋体"/>
                <w:sz w:val="24"/>
                <w:highlight w:val="none"/>
              </w:rPr>
            </w:pPr>
          </w:p>
        </w:tc>
        <w:tc>
          <w:tcPr>
            <w:tcW w:w="2190" w:type="dxa"/>
            <w:vAlign w:val="center"/>
          </w:tcPr>
          <w:p>
            <w:pPr>
              <w:adjustRightInd w:val="0"/>
              <w:snapToGrid w:val="0"/>
              <w:spacing w:line="400" w:lineRule="exact"/>
              <w:jc w:val="center"/>
              <w:rPr>
                <w:rFonts w:ascii="宋体" w:hAnsi="宋体" w:eastAsia="宋体" w:cs="宋体"/>
                <w:sz w:val="24"/>
                <w:highlight w:val="none"/>
              </w:rPr>
            </w:pPr>
          </w:p>
        </w:tc>
        <w:tc>
          <w:tcPr>
            <w:tcW w:w="1110" w:type="dxa"/>
            <w:vAlign w:val="center"/>
          </w:tcPr>
          <w:p>
            <w:pPr>
              <w:adjustRightInd w:val="0"/>
              <w:snapToGrid w:val="0"/>
              <w:spacing w:line="400" w:lineRule="exact"/>
              <w:jc w:val="center"/>
              <w:rPr>
                <w:rFonts w:ascii="宋体" w:hAnsi="宋体" w:eastAsia="宋体" w:cs="宋体"/>
                <w:sz w:val="24"/>
                <w:highlight w:val="none"/>
              </w:rPr>
            </w:pPr>
          </w:p>
        </w:tc>
        <w:tc>
          <w:tcPr>
            <w:tcW w:w="1081" w:type="dxa"/>
            <w:vAlign w:val="center"/>
          </w:tcPr>
          <w:p>
            <w:pPr>
              <w:adjustRightInd w:val="0"/>
              <w:snapToGrid w:val="0"/>
              <w:spacing w:line="400" w:lineRule="exact"/>
              <w:jc w:val="center"/>
              <w:rPr>
                <w:rFonts w:ascii="宋体" w:hAnsi="宋体" w:eastAsia="宋体" w:cs="宋体"/>
                <w:sz w:val="24"/>
                <w:highlight w:val="none"/>
              </w:rPr>
            </w:pPr>
          </w:p>
        </w:tc>
      </w:tr>
    </w:tbl>
    <w:p>
      <w:pPr>
        <w:pStyle w:val="51"/>
        <w:adjustRightInd w:val="0"/>
        <w:snapToGrid w:val="0"/>
        <w:spacing w:line="400" w:lineRule="exact"/>
        <w:rPr>
          <w:rFonts w:hAnsi="宋体" w:cs="宋体"/>
          <w:sz w:val="24"/>
          <w:szCs w:val="24"/>
          <w:highlight w:val="none"/>
        </w:rPr>
      </w:pPr>
      <w:r>
        <w:rPr>
          <w:rFonts w:hint="eastAsia" w:hAnsi="宋体" w:cs="宋体"/>
          <w:sz w:val="24"/>
          <w:szCs w:val="24"/>
          <w:highlight w:val="none"/>
        </w:rPr>
        <w:t>注：1、请投标人在“是否响应”栏内根据响应情况填写“满足或负偏离，或正偏离”，负偏离或正偏离请在“偏离说明”栏内扼要说明偏离情况。</w:t>
      </w:r>
    </w:p>
    <w:p>
      <w:pPr>
        <w:pStyle w:val="51"/>
        <w:adjustRightInd w:val="0"/>
        <w:snapToGrid w:val="0"/>
        <w:spacing w:line="400" w:lineRule="exact"/>
        <w:ind w:firstLine="472" w:firstLineChars="200"/>
        <w:rPr>
          <w:rFonts w:hAnsi="宋体" w:cs="宋体"/>
          <w:sz w:val="24"/>
          <w:szCs w:val="24"/>
          <w:highlight w:val="none"/>
        </w:rPr>
      </w:pPr>
      <w:r>
        <w:rPr>
          <w:rFonts w:hint="eastAsia" w:hAnsi="宋体" w:cs="宋体"/>
          <w:sz w:val="24"/>
          <w:szCs w:val="24"/>
          <w:highlight w:val="none"/>
        </w:rPr>
        <w:t>2、若投标人未提供或未填写本表，均视作完全响应招标文件要求。</w:t>
      </w:r>
    </w:p>
    <w:p>
      <w:pPr>
        <w:pStyle w:val="51"/>
        <w:adjustRightInd w:val="0"/>
        <w:snapToGrid w:val="0"/>
        <w:spacing w:line="400" w:lineRule="exact"/>
        <w:ind w:firstLine="472" w:firstLineChars="200"/>
        <w:rPr>
          <w:rFonts w:hAnsi="宋体" w:cs="宋体"/>
          <w:sz w:val="24"/>
          <w:szCs w:val="24"/>
          <w:highlight w:val="none"/>
        </w:rPr>
      </w:pPr>
    </w:p>
    <w:p>
      <w:pPr>
        <w:pStyle w:val="51"/>
        <w:adjustRightInd w:val="0"/>
        <w:snapToGrid w:val="0"/>
        <w:spacing w:line="400" w:lineRule="exact"/>
        <w:rPr>
          <w:rFonts w:hAnsi="宋体" w:cs="宋体"/>
          <w:sz w:val="24"/>
          <w:szCs w:val="24"/>
          <w:highlight w:val="none"/>
        </w:rPr>
      </w:pPr>
      <w:r>
        <w:rPr>
          <w:rFonts w:hint="eastAsia" w:hAnsi="宋体" w:cs="宋体"/>
          <w:sz w:val="24"/>
          <w:szCs w:val="24"/>
          <w:highlight w:val="none"/>
        </w:rPr>
        <w:t>投标人（盖公章）：</w:t>
      </w:r>
    </w:p>
    <w:p>
      <w:pPr>
        <w:pStyle w:val="51"/>
        <w:adjustRightInd w:val="0"/>
        <w:snapToGrid w:val="0"/>
        <w:spacing w:line="400" w:lineRule="exact"/>
        <w:rPr>
          <w:rFonts w:hAnsi="宋体" w:cs="宋体"/>
          <w:sz w:val="24"/>
          <w:szCs w:val="24"/>
          <w:highlight w:val="none"/>
        </w:rPr>
      </w:pPr>
      <w:r>
        <w:rPr>
          <w:rFonts w:hint="eastAsia" w:hAnsi="宋体" w:cs="宋体"/>
          <w:sz w:val="24"/>
          <w:szCs w:val="24"/>
          <w:highlight w:val="none"/>
        </w:rPr>
        <w:t>法定代表人（负责人）或其委托代理人（签字或盖章）：</w:t>
      </w:r>
    </w:p>
    <w:p>
      <w:pPr>
        <w:pStyle w:val="51"/>
        <w:adjustRightInd w:val="0"/>
        <w:snapToGrid w:val="0"/>
        <w:spacing w:line="400" w:lineRule="exact"/>
        <w:rPr>
          <w:rFonts w:hAnsi="宋体" w:cs="宋体"/>
          <w:sz w:val="24"/>
          <w:szCs w:val="24"/>
          <w:highlight w:val="none"/>
        </w:rPr>
      </w:pPr>
      <w:r>
        <w:rPr>
          <w:rFonts w:hint="eastAsia" w:hAnsi="宋体" w:cs="宋体"/>
          <w:snapToGrid w:val="0"/>
          <w:sz w:val="24"/>
          <w:szCs w:val="24"/>
          <w:highlight w:val="none"/>
        </w:rPr>
        <w:t>日期：</w:t>
      </w:r>
      <w:r>
        <w:rPr>
          <w:rFonts w:hint="eastAsia" w:hAnsi="宋体" w:cs="宋体"/>
          <w:sz w:val="24"/>
          <w:szCs w:val="24"/>
          <w:highlight w:val="none"/>
        </w:rPr>
        <w:t xml:space="preserve">      年    月    日</w:t>
      </w:r>
    </w:p>
    <w:p>
      <w:pPr>
        <w:pStyle w:val="51"/>
        <w:adjustRightInd w:val="0"/>
        <w:snapToGrid w:val="0"/>
        <w:spacing w:line="400" w:lineRule="exact"/>
        <w:rPr>
          <w:rFonts w:hAnsi="宋体" w:cs="宋体"/>
          <w:sz w:val="24"/>
          <w:szCs w:val="24"/>
          <w:highlight w:val="none"/>
        </w:rPr>
      </w:pPr>
    </w:p>
    <w:p>
      <w:pPr>
        <w:pStyle w:val="51"/>
        <w:adjustRightInd w:val="0"/>
        <w:snapToGrid w:val="0"/>
        <w:spacing w:line="400" w:lineRule="exact"/>
        <w:rPr>
          <w:rFonts w:hAnsi="宋体" w:cs="宋体"/>
          <w:sz w:val="24"/>
          <w:szCs w:val="24"/>
          <w:highlight w:val="none"/>
        </w:rPr>
      </w:pPr>
    </w:p>
    <w:p>
      <w:pPr>
        <w:spacing w:line="400" w:lineRule="exact"/>
        <w:jc w:val="center"/>
        <w:rPr>
          <w:rFonts w:ascii="宋体" w:hAnsi="宋体" w:eastAsia="宋体" w:cs="宋体"/>
          <w:sz w:val="24"/>
          <w:highlight w:val="none"/>
        </w:rPr>
      </w:pPr>
      <w:r>
        <w:rPr>
          <w:rFonts w:hint="eastAsia" w:ascii="宋体" w:hAnsi="宋体" w:eastAsia="宋体" w:cs="宋体"/>
          <w:sz w:val="24"/>
          <w:highlight w:val="none"/>
        </w:rPr>
        <w:br w:type="page"/>
      </w:r>
      <w:bookmarkStart w:id="125" w:name="_Toc2511"/>
    </w:p>
    <w:p>
      <w:pPr>
        <w:pStyle w:val="5"/>
        <w:spacing w:line="400" w:lineRule="exact"/>
        <w:jc w:val="center"/>
        <w:rPr>
          <w:rFonts w:cs="宋体"/>
          <w:bCs w:val="0"/>
          <w:sz w:val="24"/>
          <w:szCs w:val="24"/>
          <w:highlight w:val="none"/>
          <w:lang w:val="zh-CN"/>
        </w:rPr>
      </w:pPr>
      <w:r>
        <w:rPr>
          <w:rFonts w:hint="eastAsia" w:cs="宋体"/>
          <w:bCs w:val="0"/>
          <w:sz w:val="24"/>
          <w:szCs w:val="24"/>
          <w:highlight w:val="none"/>
        </w:rPr>
        <w:t>四、</w:t>
      </w:r>
      <w:r>
        <w:rPr>
          <w:rFonts w:hint="eastAsia" w:cs="宋体"/>
          <w:bCs w:val="0"/>
          <w:sz w:val="24"/>
          <w:szCs w:val="24"/>
          <w:highlight w:val="none"/>
          <w:lang w:val="zh-CN"/>
        </w:rPr>
        <w:t>投标人认为有必要的其他内容</w:t>
      </w:r>
      <w:bookmarkEnd w:id="125"/>
    </w:p>
    <w:p>
      <w:pPr>
        <w:spacing w:line="400" w:lineRule="exact"/>
        <w:jc w:val="center"/>
        <w:rPr>
          <w:rFonts w:ascii="宋体" w:hAnsi="宋体" w:eastAsia="宋体" w:cs="宋体"/>
          <w:sz w:val="24"/>
          <w:highlight w:val="none"/>
        </w:rPr>
      </w:pPr>
      <w:r>
        <w:rPr>
          <w:rFonts w:hint="eastAsia" w:ascii="宋体" w:hAnsi="宋体" w:eastAsia="宋体" w:cs="宋体"/>
          <w:sz w:val="24"/>
          <w:highlight w:val="none"/>
        </w:rPr>
        <w:t>（包括与评审有关的内容）</w:t>
      </w: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p>
      <w:pPr>
        <w:spacing w:line="400" w:lineRule="exact"/>
        <w:jc w:val="center"/>
        <w:rPr>
          <w:rFonts w:ascii="宋体" w:hAnsi="宋体" w:eastAsia="宋体" w:cs="宋体"/>
          <w:sz w:val="24"/>
          <w:highlight w:val="none"/>
        </w:rPr>
      </w:pPr>
    </w:p>
    <w:bookmarkEnd w:id="118"/>
    <w:p>
      <w:pPr>
        <w:pStyle w:val="3"/>
        <w:widowControl/>
        <w:adjustRightInd w:val="0"/>
        <w:snapToGrid w:val="0"/>
        <w:spacing w:before="0" w:after="0" w:line="400" w:lineRule="exact"/>
        <w:rPr>
          <w:rFonts w:ascii="宋体" w:hAnsi="宋体" w:cs="宋体"/>
          <w:sz w:val="32"/>
          <w:szCs w:val="32"/>
          <w:highlight w:val="none"/>
        </w:rPr>
      </w:pPr>
      <w:bookmarkStart w:id="126" w:name="_Toc1923"/>
      <w:bookmarkStart w:id="127" w:name="_Toc83886047"/>
      <w:r>
        <w:rPr>
          <w:rFonts w:hint="eastAsia" w:ascii="宋体" w:hAnsi="宋体" w:cs="宋体"/>
          <w:sz w:val="32"/>
          <w:szCs w:val="32"/>
          <w:highlight w:val="none"/>
        </w:rPr>
        <w:t>第六章  合同条款及格式（仅供参考，以实际签订为准）</w:t>
      </w:r>
    </w:p>
    <w:bookmarkEnd w:id="0"/>
    <w:bookmarkEnd w:id="126"/>
    <w:bookmarkEnd w:id="127"/>
    <w:p>
      <w:pPr>
        <w:spacing w:line="400" w:lineRule="exact"/>
        <w:rPr>
          <w:rFonts w:ascii="宋体" w:hAnsi="宋体" w:eastAsia="宋体" w:cs="宋体"/>
          <w:sz w:val="24"/>
          <w:highlight w:val="none"/>
          <w:u w:val="single"/>
        </w:rPr>
      </w:pPr>
      <w:r>
        <w:rPr>
          <w:rFonts w:hint="eastAsia" w:ascii="宋体" w:hAnsi="宋体" w:eastAsia="宋体" w:cs="宋体"/>
          <w:sz w:val="24"/>
          <w:highlight w:val="none"/>
        </w:rPr>
        <w:t>合同编号：</w:t>
      </w:r>
      <w:r>
        <w:rPr>
          <w:rFonts w:hint="eastAsia" w:ascii="宋体" w:hAnsi="宋体" w:eastAsia="宋体" w:cs="宋体"/>
          <w:sz w:val="24"/>
          <w:highlight w:val="none"/>
          <w:u w:val="single"/>
        </w:rPr>
        <w:t xml:space="preserve"> LJGS-2024-          </w:t>
      </w:r>
    </w:p>
    <w:p>
      <w:pPr>
        <w:spacing w:line="400" w:lineRule="exact"/>
        <w:rPr>
          <w:rFonts w:ascii="宋体" w:hAnsi="宋体" w:eastAsia="宋体" w:cs="宋体"/>
          <w:b/>
          <w:sz w:val="24"/>
          <w:highlight w:val="none"/>
        </w:rPr>
      </w:pPr>
    </w:p>
    <w:p>
      <w:pPr>
        <w:spacing w:line="400" w:lineRule="exact"/>
        <w:rPr>
          <w:rFonts w:ascii="宋体" w:hAnsi="宋体" w:eastAsia="宋体" w:cs="宋体"/>
          <w:sz w:val="24"/>
          <w:highlight w:val="none"/>
        </w:rPr>
      </w:pPr>
    </w:p>
    <w:p>
      <w:pPr>
        <w:spacing w:line="400" w:lineRule="exact"/>
        <w:rPr>
          <w:rFonts w:ascii="宋体" w:hAnsi="宋体" w:eastAsia="宋体" w:cs="宋体"/>
          <w:highlight w:val="none"/>
        </w:rPr>
      </w:pPr>
    </w:p>
    <w:p>
      <w:pPr>
        <w:spacing w:line="400" w:lineRule="exact"/>
        <w:jc w:val="center"/>
        <w:rPr>
          <w:rFonts w:ascii="宋体" w:hAnsi="宋体" w:eastAsia="宋体" w:cs="宋体"/>
          <w:b/>
          <w:sz w:val="36"/>
          <w:szCs w:val="36"/>
          <w:highlight w:val="none"/>
        </w:rPr>
      </w:pPr>
      <w:r>
        <w:rPr>
          <w:rFonts w:hint="eastAsia" w:ascii="宋体" w:hAnsi="宋体" w:eastAsia="宋体" w:cs="宋体"/>
          <w:b/>
          <w:sz w:val="36"/>
          <w:szCs w:val="36"/>
          <w:highlight w:val="none"/>
        </w:rPr>
        <w:t>服务类采购合同</w:t>
      </w:r>
    </w:p>
    <w:p>
      <w:pPr>
        <w:pStyle w:val="54"/>
        <w:spacing w:line="400" w:lineRule="exact"/>
        <w:ind w:left="632" w:firstLine="472"/>
        <w:rPr>
          <w:rFonts w:ascii="宋体" w:hAnsi="宋体" w:cs="宋体"/>
          <w:szCs w:val="24"/>
          <w:highlight w:val="none"/>
        </w:rPr>
      </w:pPr>
    </w:p>
    <w:p>
      <w:pPr>
        <w:spacing w:before="120" w:line="400" w:lineRule="exact"/>
        <w:ind w:left="960"/>
        <w:rPr>
          <w:rFonts w:ascii="宋体" w:hAnsi="宋体" w:eastAsia="宋体" w:cs="宋体"/>
          <w:highlight w:val="none"/>
        </w:rPr>
      </w:pPr>
      <w:r>
        <w:rPr>
          <w:rFonts w:hint="eastAsia" w:ascii="宋体" w:hAnsi="宋体" w:eastAsia="宋体" w:cs="宋体"/>
          <w:sz w:val="24"/>
          <w:highlight w:val="none"/>
        </w:rPr>
        <w:t>项目名称：</w:t>
      </w:r>
      <w:r>
        <w:rPr>
          <w:rFonts w:hint="eastAsia" w:ascii="宋体" w:hAnsi="宋体" w:eastAsia="宋体" w:cs="宋体"/>
          <w:sz w:val="24"/>
          <w:highlight w:val="none"/>
          <w:u w:val="single"/>
        </w:rPr>
        <w:t>2024-2026年度起重设备及抓斗维保采购项目</w:t>
      </w:r>
    </w:p>
    <w:p>
      <w:pPr>
        <w:spacing w:line="400" w:lineRule="exact"/>
        <w:rPr>
          <w:rFonts w:ascii="宋体" w:hAnsi="宋体" w:eastAsia="宋体" w:cs="宋体"/>
          <w:sz w:val="24"/>
          <w:highlight w:val="none"/>
        </w:rPr>
      </w:pPr>
    </w:p>
    <w:p>
      <w:pPr>
        <w:spacing w:before="120" w:line="400" w:lineRule="exact"/>
        <w:ind w:left="960"/>
        <w:rPr>
          <w:rFonts w:ascii="宋体" w:hAnsi="宋体" w:eastAsia="宋体" w:cs="宋体"/>
          <w:sz w:val="24"/>
          <w:highlight w:val="none"/>
          <w:u w:val="single"/>
        </w:rPr>
      </w:pPr>
      <w:r>
        <w:rPr>
          <w:rFonts w:hint="eastAsia" w:ascii="宋体" w:hAnsi="宋体" w:eastAsia="宋体" w:cs="宋体"/>
          <w:sz w:val="24"/>
          <w:highlight w:val="none"/>
        </w:rPr>
        <w:t>甲    方：</w:t>
      </w:r>
      <w:r>
        <w:rPr>
          <w:rFonts w:hint="eastAsia" w:ascii="宋体" w:hAnsi="宋体" w:eastAsia="宋体" w:cs="宋体"/>
          <w:sz w:val="24"/>
          <w:highlight w:val="none"/>
          <w:u w:val="single"/>
        </w:rPr>
        <w:t xml:space="preserve"> 杭州临江环境能源有限公司   </w:t>
      </w:r>
    </w:p>
    <w:p>
      <w:pPr>
        <w:spacing w:before="120" w:line="400" w:lineRule="exact"/>
        <w:rPr>
          <w:rFonts w:ascii="宋体" w:hAnsi="宋体" w:eastAsia="宋体" w:cs="宋体"/>
          <w:sz w:val="24"/>
          <w:highlight w:val="none"/>
        </w:rPr>
      </w:pPr>
    </w:p>
    <w:p>
      <w:pPr>
        <w:spacing w:before="120" w:line="400" w:lineRule="exact"/>
        <w:ind w:left="960"/>
        <w:rPr>
          <w:rFonts w:ascii="宋体" w:hAnsi="宋体" w:eastAsia="宋体" w:cs="宋体"/>
          <w:sz w:val="24"/>
          <w:highlight w:val="none"/>
          <w:u w:val="single"/>
        </w:rPr>
      </w:pPr>
      <w:r>
        <w:rPr>
          <w:rFonts w:hint="eastAsia" w:ascii="宋体" w:hAnsi="宋体" w:eastAsia="宋体" w:cs="宋体"/>
          <w:sz w:val="24"/>
          <w:highlight w:val="none"/>
        </w:rPr>
        <w:t>乙    方：</w:t>
      </w:r>
    </w:p>
    <w:p>
      <w:pPr>
        <w:spacing w:before="120" w:line="400" w:lineRule="exact"/>
        <w:rPr>
          <w:rFonts w:ascii="宋体" w:hAnsi="宋体" w:eastAsia="宋体" w:cs="宋体"/>
          <w:sz w:val="24"/>
          <w:highlight w:val="none"/>
        </w:rPr>
      </w:pPr>
    </w:p>
    <w:p>
      <w:pPr>
        <w:spacing w:before="120" w:line="400" w:lineRule="exact"/>
        <w:ind w:firstLine="944" w:firstLineChars="400"/>
        <w:rPr>
          <w:rFonts w:ascii="宋体" w:hAnsi="宋体" w:eastAsia="宋体" w:cs="宋体"/>
          <w:sz w:val="24"/>
          <w:highlight w:val="none"/>
          <w:u w:val="single"/>
        </w:rPr>
      </w:pPr>
      <w:r>
        <w:rPr>
          <w:rFonts w:hint="eastAsia" w:ascii="宋体" w:hAnsi="宋体" w:eastAsia="宋体" w:cs="宋体"/>
          <w:sz w:val="24"/>
          <w:highlight w:val="none"/>
        </w:rPr>
        <w:t>签 订 地：</w:t>
      </w:r>
      <w:r>
        <w:rPr>
          <w:rFonts w:hint="eastAsia" w:ascii="宋体" w:hAnsi="宋体" w:eastAsia="宋体" w:cs="宋体"/>
          <w:sz w:val="24"/>
          <w:highlight w:val="none"/>
          <w:u w:val="single"/>
        </w:rPr>
        <w:t xml:space="preserve">    浙江省杭州市钱塘区  </w:t>
      </w:r>
    </w:p>
    <w:p>
      <w:pPr>
        <w:spacing w:before="120" w:line="400" w:lineRule="exact"/>
        <w:rPr>
          <w:rFonts w:ascii="宋体" w:hAnsi="宋体" w:eastAsia="宋体" w:cs="宋体"/>
          <w:sz w:val="24"/>
          <w:highlight w:val="none"/>
        </w:rPr>
      </w:pPr>
    </w:p>
    <w:p>
      <w:pPr>
        <w:spacing w:before="120" w:line="400" w:lineRule="exact"/>
        <w:ind w:firstLine="944" w:firstLineChars="400"/>
        <w:rPr>
          <w:rFonts w:ascii="宋体" w:hAnsi="宋体" w:eastAsia="宋体" w:cs="宋体"/>
          <w:sz w:val="24"/>
          <w:highlight w:val="none"/>
          <w:u w:val="single"/>
        </w:rPr>
      </w:pPr>
      <w:r>
        <w:rPr>
          <w:rFonts w:hint="eastAsia" w:ascii="宋体" w:hAnsi="宋体" w:eastAsia="宋体" w:cs="宋体"/>
          <w:sz w:val="24"/>
          <w:highlight w:val="none"/>
        </w:rPr>
        <w:t>签订日期：年月日</w:t>
      </w:r>
    </w:p>
    <w:p>
      <w:pPr>
        <w:pStyle w:val="54"/>
        <w:spacing w:line="400" w:lineRule="exact"/>
        <w:ind w:left="0" w:leftChars="0" w:firstLine="0" w:firstLineChars="0"/>
        <w:rPr>
          <w:rFonts w:ascii="宋体" w:hAnsi="宋体"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11"/>
        <w:spacing w:line="400" w:lineRule="exact"/>
        <w:rPr>
          <w:rFonts w:hint="default" w:cs="宋体"/>
          <w:b/>
          <w:szCs w:val="24"/>
          <w:highlight w:val="none"/>
        </w:rPr>
      </w:pPr>
    </w:p>
    <w:p>
      <w:pPr>
        <w:pStyle w:val="9"/>
        <w:adjustRightInd w:val="0"/>
        <w:snapToGrid w:val="0"/>
        <w:spacing w:line="400" w:lineRule="exact"/>
        <w:ind w:firstLine="207"/>
        <w:jc w:val="center"/>
        <w:rPr>
          <w:rFonts w:ascii="宋体" w:hAnsi="宋体" w:cs="宋体"/>
          <w:b/>
          <w:bCs/>
          <w:highlight w:val="none"/>
        </w:rPr>
      </w:pPr>
      <w:r>
        <w:rPr>
          <w:rFonts w:hint="eastAsia" w:ascii="宋体" w:hAnsi="宋体" w:cs="宋体"/>
          <w:b/>
          <w:bCs/>
          <w:highlight w:val="none"/>
        </w:rPr>
        <w:t>目录</w:t>
      </w:r>
    </w:p>
    <w:p>
      <w:pPr>
        <w:pStyle w:val="11"/>
        <w:snapToGrid w:val="0"/>
        <w:spacing w:line="400" w:lineRule="exact"/>
        <w:ind w:firstLine="236" w:firstLineChars="100"/>
        <w:rPr>
          <w:rFonts w:hint="default" w:cs="宋体"/>
          <w:highlight w:val="none"/>
        </w:rPr>
      </w:pPr>
      <w:r>
        <w:rPr>
          <w:rFonts w:cs="宋体"/>
          <w:highlight w:val="none"/>
        </w:rPr>
        <w:t>第一章 合同书  ……………………………………………………………（页码）</w:t>
      </w:r>
    </w:p>
    <w:p>
      <w:pPr>
        <w:pStyle w:val="11"/>
        <w:snapToGrid w:val="0"/>
        <w:spacing w:line="400" w:lineRule="exact"/>
        <w:ind w:firstLine="236" w:firstLineChars="100"/>
        <w:rPr>
          <w:rFonts w:hint="default" w:cs="宋体"/>
          <w:highlight w:val="none"/>
        </w:rPr>
      </w:pPr>
      <w:r>
        <w:rPr>
          <w:rFonts w:cs="宋体"/>
          <w:highlight w:val="none"/>
        </w:rPr>
        <w:t>第二章 合同一般条款………………………………………………………（页码）</w:t>
      </w:r>
    </w:p>
    <w:p>
      <w:pPr>
        <w:pStyle w:val="11"/>
        <w:snapToGrid w:val="0"/>
        <w:spacing w:line="400" w:lineRule="exact"/>
        <w:ind w:firstLine="236" w:firstLineChars="100"/>
        <w:rPr>
          <w:rFonts w:hint="default" w:cs="宋体"/>
          <w:highlight w:val="none"/>
        </w:rPr>
      </w:pPr>
      <w:r>
        <w:rPr>
          <w:rFonts w:cs="宋体"/>
          <w:highlight w:val="none"/>
        </w:rPr>
        <w:t>第三章设备日常检修维护考核细则…………………………………………（页码）</w:t>
      </w:r>
    </w:p>
    <w:p>
      <w:pPr>
        <w:pStyle w:val="11"/>
        <w:snapToGrid w:val="0"/>
        <w:spacing w:line="400" w:lineRule="exact"/>
        <w:ind w:firstLine="236" w:firstLineChars="100"/>
        <w:rPr>
          <w:rFonts w:hint="default" w:cs="宋体"/>
          <w:highlight w:val="none"/>
        </w:rPr>
      </w:pPr>
      <w:r>
        <w:rPr>
          <w:rFonts w:cs="宋体"/>
          <w:highlight w:val="none"/>
        </w:rPr>
        <w:t>第四章 安全协议……………………………………………………………（页码）</w:t>
      </w:r>
    </w:p>
    <w:p>
      <w:pPr>
        <w:pStyle w:val="11"/>
        <w:snapToGrid w:val="0"/>
        <w:spacing w:line="400" w:lineRule="exact"/>
        <w:ind w:firstLine="236" w:firstLineChars="100"/>
        <w:rPr>
          <w:rFonts w:hint="default" w:cs="宋体"/>
          <w:highlight w:val="none"/>
        </w:rPr>
      </w:pPr>
      <w:r>
        <w:rPr>
          <w:rFonts w:cs="宋体"/>
          <w:highlight w:val="none"/>
        </w:rPr>
        <w:t>第四章 廉洁协议……………………………………………………………（页码）</w:t>
      </w:r>
    </w:p>
    <w:p>
      <w:pPr>
        <w:pStyle w:val="11"/>
        <w:snapToGrid w:val="0"/>
        <w:spacing w:line="400" w:lineRule="exact"/>
        <w:ind w:firstLine="236" w:firstLineChars="100"/>
        <w:rPr>
          <w:rFonts w:hint="default" w:cs="宋体"/>
          <w:highlight w:val="none"/>
        </w:rPr>
      </w:pPr>
    </w:p>
    <w:p>
      <w:pPr>
        <w:pStyle w:val="54"/>
        <w:spacing w:line="400" w:lineRule="exact"/>
        <w:ind w:left="632" w:firstLine="472"/>
        <w:rPr>
          <w:rFonts w:ascii="宋体" w:hAnsi="宋体" w:cs="宋体"/>
          <w:szCs w:val="24"/>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11"/>
        <w:snapToGrid w:val="0"/>
        <w:spacing w:line="400" w:lineRule="exact"/>
        <w:rPr>
          <w:rFonts w:hint="default" w:cs="宋体"/>
          <w:highlight w:val="none"/>
        </w:rPr>
      </w:pPr>
    </w:p>
    <w:p>
      <w:pPr>
        <w:pStyle w:val="54"/>
        <w:spacing w:line="400" w:lineRule="exact"/>
        <w:ind w:left="0" w:leftChars="0" w:firstLine="0" w:firstLineChars="0"/>
        <w:rPr>
          <w:rFonts w:ascii="宋体" w:hAnsi="宋体" w:cs="宋体"/>
          <w:szCs w:val="24"/>
          <w:highlight w:val="none"/>
        </w:rPr>
      </w:pPr>
    </w:p>
    <w:p>
      <w:pPr>
        <w:pStyle w:val="54"/>
        <w:spacing w:line="400" w:lineRule="exact"/>
        <w:ind w:left="0" w:leftChars="0" w:firstLine="0" w:firstLineChars="0"/>
        <w:jc w:val="center"/>
        <w:rPr>
          <w:rFonts w:ascii="宋体" w:hAnsi="宋体" w:cs="宋体"/>
          <w:b/>
          <w:szCs w:val="24"/>
          <w:highlight w:val="none"/>
        </w:rPr>
      </w:pPr>
    </w:p>
    <w:p>
      <w:pPr>
        <w:spacing w:line="400" w:lineRule="exact"/>
        <w:rPr>
          <w:rFonts w:ascii="宋体" w:hAnsi="宋体" w:eastAsia="宋体" w:cs="宋体"/>
          <w:b/>
          <w:sz w:val="24"/>
          <w:highlight w:val="none"/>
        </w:rPr>
      </w:pPr>
      <w:r>
        <w:rPr>
          <w:rFonts w:hint="eastAsia" w:ascii="宋体" w:hAnsi="宋体" w:eastAsia="宋体" w:cs="宋体"/>
          <w:b/>
          <w:sz w:val="24"/>
          <w:highlight w:val="none"/>
        </w:rPr>
        <w:br w:type="page"/>
      </w:r>
    </w:p>
    <w:p>
      <w:pPr>
        <w:pStyle w:val="54"/>
        <w:ind w:left="0" w:leftChars="0" w:firstLine="0" w:firstLineChars="0"/>
        <w:jc w:val="center"/>
        <w:rPr>
          <w:rFonts w:asciiTheme="minorEastAsia" w:hAnsiTheme="minorEastAsia" w:eastAsiaTheme="minorEastAsia" w:cstheme="minorEastAsia"/>
          <w:szCs w:val="24"/>
          <w:highlight w:val="none"/>
          <w:u w:val="single"/>
          <w:lang w:val="zh-CN"/>
        </w:rPr>
      </w:pPr>
      <w:r>
        <w:rPr>
          <w:rFonts w:hint="eastAsia" w:asciiTheme="minorEastAsia" w:hAnsiTheme="minorEastAsia" w:eastAsiaTheme="minorEastAsia" w:cstheme="minorEastAsia"/>
          <w:b/>
          <w:szCs w:val="24"/>
          <w:highlight w:val="none"/>
        </w:rPr>
        <w:t>第一章 合同书</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u w:val="single"/>
        </w:rPr>
        <w:t>2023</w:t>
      </w:r>
      <w:r>
        <w:rPr>
          <w:rFonts w:hint="eastAsia" w:asciiTheme="minorEastAsia" w:hAnsiTheme="minorEastAsia" w:eastAsiaTheme="minorEastAsia" w:cstheme="minorEastAsia"/>
          <w:sz w:val="24"/>
          <w:highlight w:val="none"/>
          <w:lang w:val="zh-CN"/>
        </w:rPr>
        <w:t>年</w:t>
      </w:r>
      <w:r>
        <w:rPr>
          <w:rFonts w:hint="eastAsia" w:asciiTheme="minorEastAsia" w:hAnsiTheme="minorEastAsia" w:eastAsiaTheme="minorEastAsia" w:cstheme="minorEastAsia"/>
          <w:sz w:val="24"/>
          <w:highlight w:val="none"/>
          <w:u w:val="single"/>
        </w:rPr>
        <w:t>12</w:t>
      </w:r>
      <w:r>
        <w:rPr>
          <w:rFonts w:hint="eastAsia" w:asciiTheme="minorEastAsia" w:hAnsiTheme="minorEastAsia" w:eastAsiaTheme="minorEastAsia" w:cstheme="minorEastAsia"/>
          <w:sz w:val="24"/>
          <w:highlight w:val="none"/>
          <w:lang w:val="zh-CN"/>
        </w:rPr>
        <w:t>月</w:t>
      </w:r>
      <w:r>
        <w:rPr>
          <w:rFonts w:hint="eastAsia" w:asciiTheme="minorEastAsia" w:hAnsiTheme="minorEastAsia" w:eastAsiaTheme="minorEastAsia" w:cstheme="minorEastAsia"/>
          <w:sz w:val="24"/>
          <w:highlight w:val="none"/>
          <w:u w:val="single"/>
        </w:rPr>
        <w:t>12</w:t>
      </w:r>
      <w:r>
        <w:rPr>
          <w:rFonts w:hint="eastAsia" w:asciiTheme="minorEastAsia" w:hAnsiTheme="minorEastAsia" w:eastAsiaTheme="minorEastAsia" w:cstheme="minorEastAsia"/>
          <w:sz w:val="24"/>
          <w:highlight w:val="none"/>
          <w:lang w:val="zh-CN"/>
        </w:rPr>
        <w:t>日</w:t>
      </w:r>
      <w:r>
        <w:rPr>
          <w:rFonts w:hint="eastAsia" w:asciiTheme="minorEastAsia" w:hAnsiTheme="minorEastAsia" w:eastAsiaTheme="minorEastAsia" w:cstheme="minorEastAsia"/>
          <w:sz w:val="24"/>
          <w:highlight w:val="none"/>
        </w:rPr>
        <w:t>，</w:t>
      </w:r>
      <w:r>
        <w:rPr>
          <w:rFonts w:hint="eastAsia" w:asciiTheme="minorEastAsia" w:hAnsiTheme="minorEastAsia" w:eastAsiaTheme="minorEastAsia" w:cstheme="minorEastAsia"/>
          <w:sz w:val="24"/>
          <w:highlight w:val="none"/>
          <w:u w:val="single"/>
        </w:rPr>
        <w:t xml:space="preserve"> 杭州临江环境能源有限公司</w:t>
      </w:r>
      <w:r>
        <w:rPr>
          <w:rFonts w:hint="eastAsia" w:asciiTheme="minorEastAsia" w:hAnsiTheme="minorEastAsia" w:eastAsiaTheme="minorEastAsia" w:cstheme="minorEastAsia"/>
          <w:sz w:val="24"/>
          <w:highlight w:val="none"/>
        </w:rPr>
        <w:t>以形式对</w:t>
      </w:r>
      <w:r>
        <w:rPr>
          <w:rFonts w:hint="eastAsia" w:asciiTheme="minorEastAsia" w:hAnsiTheme="minorEastAsia" w:eastAsiaTheme="minorEastAsia" w:cstheme="minorEastAsia"/>
          <w:sz w:val="24"/>
          <w:highlight w:val="none"/>
          <w:u w:val="single"/>
        </w:rPr>
        <w:t xml:space="preserve"> 2024年临江公司***采购项目 </w:t>
      </w:r>
      <w:r>
        <w:rPr>
          <w:rFonts w:hint="eastAsia" w:asciiTheme="minorEastAsia" w:hAnsiTheme="minorEastAsia" w:eastAsiaTheme="minorEastAsia" w:cstheme="minorEastAsia"/>
          <w:sz w:val="24"/>
          <w:highlight w:val="none"/>
        </w:rPr>
        <w:t>进行了采购。经</w:t>
      </w:r>
      <w:r>
        <w:rPr>
          <w:rFonts w:hint="eastAsia" w:asciiTheme="minorEastAsia" w:hAnsiTheme="minorEastAsia" w:eastAsiaTheme="minorEastAsia" w:cstheme="minorEastAsia"/>
          <w:sz w:val="24"/>
          <w:highlight w:val="none"/>
          <w:u w:val="single"/>
        </w:rPr>
        <w:t xml:space="preserve"> / </w:t>
      </w:r>
      <w:r>
        <w:rPr>
          <w:rFonts w:hint="eastAsia" w:asciiTheme="minorEastAsia" w:hAnsiTheme="minorEastAsia" w:eastAsiaTheme="minorEastAsia" w:cstheme="minorEastAsia"/>
          <w:sz w:val="24"/>
          <w:highlight w:val="none"/>
        </w:rPr>
        <w:t>评定，</w:t>
      </w:r>
      <w:r>
        <w:rPr>
          <w:rFonts w:hint="eastAsia" w:asciiTheme="minorEastAsia" w:hAnsiTheme="minorEastAsia" w:eastAsiaTheme="minorEastAsia" w:cstheme="minorEastAsia"/>
          <w:sz w:val="24"/>
          <w:highlight w:val="none"/>
          <w:u w:val="single"/>
        </w:rPr>
        <w:t xml:space="preserve"> ***有限公司  </w:t>
      </w:r>
      <w:r>
        <w:rPr>
          <w:rFonts w:hint="eastAsia" w:asciiTheme="minorEastAsia" w:hAnsiTheme="minorEastAsia" w:eastAsiaTheme="minorEastAsia" w:cstheme="minorEastAsia"/>
          <w:sz w:val="24"/>
          <w:highlight w:val="none"/>
        </w:rPr>
        <w:t>为该项目中标或者成交供应商。现于中标或者成交通知书发出之日起30天内，按照采购文件确定的事项签订本合同。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zh-CN"/>
        </w:rPr>
        <w:t>根据《中华人民共和国民法典》等相关法律法规之规定，按照平等、自愿、公平和诚实信用的原则，经</w:t>
      </w:r>
      <w:r>
        <w:rPr>
          <w:rFonts w:hint="eastAsia" w:asciiTheme="minorEastAsia" w:hAnsiTheme="minorEastAsia" w:eastAsiaTheme="minorEastAsia" w:cstheme="minorEastAsia"/>
          <w:sz w:val="24"/>
          <w:highlight w:val="none"/>
          <w:u w:val="single"/>
        </w:rPr>
        <w:t xml:space="preserve"> 杭州临江环境能源有限公司 （</w:t>
      </w:r>
      <w:r>
        <w:rPr>
          <w:rFonts w:hint="eastAsia" w:asciiTheme="minorEastAsia" w:hAnsiTheme="minorEastAsia" w:eastAsiaTheme="minorEastAsia" w:cstheme="minorEastAsia"/>
          <w:sz w:val="24"/>
          <w:highlight w:val="none"/>
          <w:lang w:val="zh-CN"/>
        </w:rPr>
        <w:t>以下简称：甲方）和</w:t>
      </w:r>
      <w:r>
        <w:rPr>
          <w:rFonts w:hint="eastAsia" w:asciiTheme="minorEastAsia" w:hAnsiTheme="minorEastAsia" w:eastAsiaTheme="minorEastAsia" w:cstheme="minorEastAsia"/>
          <w:sz w:val="24"/>
          <w:highlight w:val="none"/>
          <w:u w:val="single"/>
        </w:rPr>
        <w:t xml:space="preserve">  ***有限公司 （</w:t>
      </w:r>
      <w:r>
        <w:rPr>
          <w:rFonts w:hint="eastAsia" w:asciiTheme="minorEastAsia" w:hAnsiTheme="minorEastAsia" w:eastAsiaTheme="minorEastAsia" w:cstheme="minorEastAsia"/>
          <w:sz w:val="24"/>
          <w:highlight w:val="none"/>
          <w:lang w:val="zh-CN"/>
        </w:rPr>
        <w:t>以下简称：乙方）协商一致，约定以下合同</w:t>
      </w:r>
      <w:r>
        <w:rPr>
          <w:rFonts w:hint="eastAsia" w:asciiTheme="minorEastAsia" w:hAnsiTheme="minorEastAsia" w:eastAsiaTheme="minorEastAsia" w:cstheme="minorEastAsia"/>
          <w:sz w:val="24"/>
          <w:highlight w:val="none"/>
        </w:rPr>
        <w:t>条款，以兹共同遵守、全面履行。</w:t>
      </w:r>
    </w:p>
    <w:p>
      <w:pPr>
        <w:adjustRightInd w:val="0"/>
        <w:snapToGrid w:val="0"/>
        <w:spacing w:line="360" w:lineRule="auto"/>
        <w:ind w:firstLine="472" w:firstLineChars="200"/>
        <w:outlineLvl w:val="0"/>
        <w:rPr>
          <w:rFonts w:asciiTheme="minorEastAsia" w:hAnsiTheme="minorEastAsia" w:eastAsiaTheme="minorEastAsia" w:cstheme="minorEastAsia"/>
          <w:sz w:val="24"/>
          <w:highlight w:val="none"/>
        </w:rPr>
      </w:pPr>
      <w:bookmarkStart w:id="128" w:name="_Toc20421"/>
      <w:bookmarkStart w:id="129" w:name="_Toc15367"/>
      <w:bookmarkStart w:id="130" w:name="_Toc28855"/>
      <w:bookmarkStart w:id="131" w:name="_Toc22967"/>
      <w:bookmarkStart w:id="132" w:name="_Toc19273"/>
      <w:r>
        <w:rPr>
          <w:rFonts w:hint="eastAsia" w:asciiTheme="minorEastAsia" w:hAnsiTheme="minorEastAsia" w:eastAsiaTheme="minorEastAsia" w:cstheme="minorEastAsia"/>
          <w:b/>
          <w:sz w:val="24"/>
          <w:highlight w:val="none"/>
        </w:rPr>
        <w:t>一、 合同组成部分</w:t>
      </w:r>
      <w:bookmarkEnd w:id="128"/>
      <w:bookmarkEnd w:id="129"/>
      <w:bookmarkEnd w:id="130"/>
      <w:bookmarkEnd w:id="131"/>
      <w:bookmarkEnd w:id="132"/>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下列文件为本合同的组成部分，并构成一个整体，需综合解释、相互补充。如果下列文件内容出现不一致的情形，那么在保证按照采购文件确定的事项的前提下，组成本合同的多份文件的优先适用顺序如下：</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 本合同及其补充合同、变更协议；</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2.中标或者成交通知书；</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3.投标或者响应文件（含澄清或者说明文件）；</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4.采购文件（含澄清或者修改文件）；</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5.其他相关采购文件。</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33" w:name="_Toc22185"/>
      <w:bookmarkStart w:id="134" w:name="_Toc2918"/>
      <w:bookmarkStart w:id="135" w:name="_Toc6311"/>
      <w:bookmarkStart w:id="136" w:name="_Toc18585"/>
      <w:bookmarkStart w:id="137" w:name="_Toc6773"/>
      <w:r>
        <w:rPr>
          <w:rFonts w:hint="eastAsia" w:asciiTheme="minorEastAsia" w:hAnsiTheme="minorEastAsia" w:eastAsiaTheme="minorEastAsia" w:cstheme="minorEastAsia"/>
          <w:b/>
          <w:sz w:val="24"/>
          <w:highlight w:val="none"/>
        </w:rPr>
        <w:t>二、合同标的</w:t>
      </w:r>
      <w:bookmarkEnd w:id="133"/>
      <w:bookmarkEnd w:id="134"/>
      <w:bookmarkEnd w:id="135"/>
      <w:bookmarkEnd w:id="136"/>
      <w:bookmarkEnd w:id="137"/>
      <w:r>
        <w:rPr>
          <w:rFonts w:hint="eastAsia" w:asciiTheme="minorEastAsia" w:hAnsiTheme="minorEastAsia" w:eastAsiaTheme="minorEastAsia" w:cstheme="minorEastAsia"/>
          <w:b/>
          <w:sz w:val="24"/>
          <w:highlight w:val="none"/>
        </w:rPr>
        <w:t>及价款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本合同总价（含税）为：￥元（大写：元人民币），其中服务费￥元（大写：元人民币），税率为 %；货物￥</w:t>
      </w:r>
      <w:r>
        <w:rPr>
          <w:rFonts w:hint="eastAsia" w:asciiTheme="minorEastAsia" w:hAnsiTheme="minorEastAsia" w:eastAsiaTheme="minorEastAsia" w:cstheme="minorEastAsia"/>
          <w:sz w:val="24"/>
          <w:highlight w:val="none"/>
          <w:u w:val="single"/>
        </w:rPr>
        <w:t xml:space="preserve"> / </w:t>
      </w:r>
      <w:r>
        <w:rPr>
          <w:rFonts w:hint="eastAsia" w:asciiTheme="minorEastAsia" w:hAnsiTheme="minorEastAsia" w:eastAsiaTheme="minorEastAsia" w:cstheme="minorEastAsia"/>
          <w:sz w:val="24"/>
          <w:highlight w:val="none"/>
        </w:rPr>
        <w:t>元（大写：</w:t>
      </w:r>
      <w:r>
        <w:rPr>
          <w:rFonts w:hint="eastAsia" w:asciiTheme="minorEastAsia" w:hAnsiTheme="minorEastAsia" w:eastAsiaTheme="minorEastAsia" w:cstheme="minorEastAsia"/>
          <w:sz w:val="24"/>
          <w:highlight w:val="none"/>
          <w:u w:val="single"/>
        </w:rPr>
        <w:t xml:space="preserve">/  </w:t>
      </w:r>
      <w:r>
        <w:rPr>
          <w:rFonts w:hint="eastAsia" w:asciiTheme="minorEastAsia" w:hAnsiTheme="minorEastAsia" w:eastAsiaTheme="minorEastAsia" w:cstheme="minorEastAsia"/>
          <w:sz w:val="24"/>
          <w:highlight w:val="none"/>
        </w:rPr>
        <w:t>元人民币），税率为</w:t>
      </w:r>
      <w:r>
        <w:rPr>
          <w:rFonts w:hint="eastAsia" w:asciiTheme="minorEastAsia" w:hAnsiTheme="minorEastAsia" w:eastAsiaTheme="minorEastAsia" w:cstheme="minorEastAsia"/>
          <w:sz w:val="24"/>
          <w:highlight w:val="none"/>
          <w:u w:val="single"/>
        </w:rPr>
        <w:t xml:space="preserve"> /  </w:t>
      </w:r>
      <w:r>
        <w:rPr>
          <w:rFonts w:hint="eastAsia" w:asciiTheme="minorEastAsia" w:hAnsiTheme="minorEastAsia" w:eastAsiaTheme="minorEastAsia" w:cstheme="minorEastAsia"/>
          <w:sz w:val="24"/>
          <w:highlight w:val="none"/>
        </w:rPr>
        <w:t xml:space="preserve"> %。其中三固运行中心元，能源运行中心元。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1.服务费采用以下第</w:t>
      </w:r>
      <w:r>
        <w:rPr>
          <w:rFonts w:hint="eastAsia" w:asciiTheme="minorEastAsia" w:hAnsiTheme="minorEastAsia" w:eastAsiaTheme="minorEastAsia" w:cstheme="minorEastAsia"/>
          <w:sz w:val="24"/>
          <w:highlight w:val="none"/>
          <w:u w:val="single"/>
        </w:rPr>
        <w:t xml:space="preserve">  （1）  </w:t>
      </w:r>
      <w:r>
        <w:rPr>
          <w:rFonts w:hint="eastAsia" w:asciiTheme="minorEastAsia" w:hAnsiTheme="minorEastAsia" w:eastAsiaTheme="minorEastAsia" w:cstheme="minorEastAsia"/>
          <w:sz w:val="24"/>
          <w:highlight w:val="none"/>
        </w:rPr>
        <w:t>条款规定的计价方式计价。</w:t>
      </w:r>
    </w:p>
    <w:p>
      <w:pPr>
        <w:adjustRightInd w:val="0"/>
        <w:snapToGrid w:val="0"/>
        <w:spacing w:line="360" w:lineRule="auto"/>
        <w:ind w:firstLine="472" w:firstLineChars="200"/>
        <w:rPr>
          <w:rFonts w:asciiTheme="minorEastAsia" w:hAnsiTheme="minorEastAsia" w:eastAsiaTheme="minorEastAsia" w:cstheme="minorEastAsia"/>
          <w:sz w:val="24"/>
          <w:highlight w:val="none"/>
          <w:u w:val="single"/>
        </w:rPr>
      </w:pPr>
      <w:r>
        <w:rPr>
          <w:rFonts w:hint="eastAsia" w:asciiTheme="minorEastAsia" w:hAnsiTheme="minorEastAsia" w:eastAsiaTheme="minorEastAsia" w:cstheme="minorEastAsia"/>
          <w:sz w:val="24"/>
          <w:highlight w:val="none"/>
        </w:rPr>
        <w:t>（1）总价合同，本合同总价（含税）为：￥元（大写：元人民币），税率为 %，单价和总价中均包括了服务费、材料或者设备费、运费、安装调试费、人工费、税费、杂费等所有费用，该价格已包含甲方为履行本合同所需的全部费用，未列明的分项视为优惠，本合同履行中，甲方不再另行支付任何费用。</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bCs/>
          <w:sz w:val="24"/>
          <w:highlight w:val="none"/>
        </w:rPr>
        <w:t>（2）单价合同，</w:t>
      </w:r>
      <w:r>
        <w:rPr>
          <w:rFonts w:hint="eastAsia" w:asciiTheme="minorEastAsia" w:hAnsiTheme="minorEastAsia" w:eastAsiaTheme="minorEastAsia" w:cstheme="minorEastAsia"/>
          <w:sz w:val="24"/>
          <w:highlight w:val="none"/>
        </w:rPr>
        <w:t xml:space="preserve">在合同履行期间内，根据实际完成的工作量据实按分项单价结算，但结算总价上限不得超过预算金额或者双方确定的金额￥元（大写：元人民币），该分项价格已包含甲方为履行本合同所需的全部费用，未列明的分项视为优惠，本合同履行中，合同单价不作调整，甲方不再另行支付任何费用。分项清单如下： </w:t>
      </w:r>
    </w:p>
    <w:tbl>
      <w:tblPr>
        <w:tblStyle w:val="25"/>
        <w:tblW w:w="9181" w:type="dxa"/>
        <w:tblInd w:w="96" w:type="dxa"/>
        <w:tblLayout w:type="fixed"/>
        <w:tblCellMar>
          <w:top w:w="0" w:type="dxa"/>
          <w:left w:w="108" w:type="dxa"/>
          <w:bottom w:w="0" w:type="dxa"/>
          <w:right w:w="108" w:type="dxa"/>
        </w:tblCellMar>
      </w:tblPr>
      <w:tblGrid>
        <w:gridCol w:w="578"/>
        <w:gridCol w:w="1517"/>
        <w:gridCol w:w="1319"/>
        <w:gridCol w:w="1183"/>
        <w:gridCol w:w="1050"/>
        <w:gridCol w:w="1400"/>
        <w:gridCol w:w="1198"/>
        <w:gridCol w:w="936"/>
      </w:tblGrid>
      <w:tr>
        <w:tblPrEx>
          <w:tblCellMar>
            <w:top w:w="0" w:type="dxa"/>
            <w:left w:w="108" w:type="dxa"/>
            <w:bottom w:w="0" w:type="dxa"/>
            <w:right w:w="108" w:type="dxa"/>
          </w:tblCellMar>
        </w:tblPrEx>
        <w:trPr>
          <w:trHeight w:val="56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序号</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服务项目</w:t>
            </w:r>
          </w:p>
        </w:tc>
        <w:tc>
          <w:tcPr>
            <w:tcW w:w="131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服务</w:t>
            </w:r>
            <w:r>
              <w:rPr>
                <w:rFonts w:hint="eastAsia" w:asciiTheme="minorEastAsia" w:hAnsiTheme="minorEastAsia" w:eastAsiaTheme="minorEastAsia" w:cstheme="minorEastAsia"/>
                <w:kern w:val="0"/>
                <w:sz w:val="24"/>
                <w:highlight w:val="none"/>
              </w:rPr>
              <w:t>内容</w:t>
            </w:r>
          </w:p>
        </w:tc>
        <w:tc>
          <w:tcPr>
            <w:tcW w:w="118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单位</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数量</w:t>
            </w:r>
          </w:p>
        </w:tc>
        <w:tc>
          <w:tcPr>
            <w:tcW w:w="140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单价（元）</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金额（元）</w:t>
            </w:r>
          </w:p>
        </w:tc>
        <w:tc>
          <w:tcPr>
            <w:tcW w:w="93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备注</w:t>
            </w:r>
          </w:p>
        </w:tc>
      </w:tr>
      <w:tr>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sz w:val="24"/>
                <w:highlight w:val="none"/>
              </w:rPr>
            </w:pPr>
          </w:p>
        </w:tc>
        <w:tc>
          <w:tcPr>
            <w:tcW w:w="140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kern w:val="0"/>
                <w:sz w:val="24"/>
                <w:highlight w:val="none"/>
              </w:rPr>
            </w:pPr>
          </w:p>
        </w:tc>
        <w:tc>
          <w:tcPr>
            <w:tcW w:w="119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kern w:val="0"/>
                <w:sz w:val="24"/>
                <w:highlight w:val="none"/>
              </w:rPr>
            </w:pPr>
          </w:p>
        </w:tc>
        <w:tc>
          <w:tcPr>
            <w:tcW w:w="93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360" w:lineRule="auto"/>
              <w:jc w:val="center"/>
              <w:textAlignment w:val="center"/>
              <w:rPr>
                <w:rFonts w:asciiTheme="minorEastAsia" w:hAnsiTheme="minorEastAsia" w:eastAsiaTheme="minorEastAsia" w:cstheme="minorEastAsia"/>
                <w:kern w:val="0"/>
                <w:sz w:val="24"/>
                <w:highlight w:val="none"/>
              </w:rPr>
            </w:pPr>
          </w:p>
        </w:tc>
      </w:tr>
    </w:tbl>
    <w:p>
      <w:pPr>
        <w:pStyle w:val="4"/>
        <w:tabs>
          <w:tab w:val="left" w:pos="432"/>
        </w:tabs>
        <w:adjustRightInd w:val="0"/>
        <w:snapToGrid w:val="0"/>
        <w:spacing w:line="360" w:lineRule="auto"/>
        <w:ind w:firstLine="472" w:firstLineChars="200"/>
        <w:rPr>
          <w:rFonts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 xml:space="preserve">（3）其他计价方式： </w:t>
      </w:r>
      <w:r>
        <w:rPr>
          <w:rFonts w:hint="eastAsia" w:asciiTheme="minorEastAsia" w:hAnsiTheme="minorEastAsia" w:eastAsiaTheme="minorEastAsia" w:cstheme="minorEastAsia"/>
          <w:b w:val="0"/>
          <w:bCs w:val="0"/>
          <w:sz w:val="24"/>
          <w:szCs w:val="24"/>
          <w:highlight w:val="none"/>
          <w:u w:val="single"/>
        </w:rPr>
        <w:t xml:space="preserve">  / </w:t>
      </w:r>
      <w:r>
        <w:rPr>
          <w:rFonts w:hint="eastAsia" w:asciiTheme="minorEastAsia" w:hAnsiTheme="minorEastAsia" w:eastAsiaTheme="minorEastAsia" w:cstheme="minorEastAsia"/>
          <w:b w:val="0"/>
          <w:bCs w:val="0"/>
          <w:sz w:val="24"/>
          <w:szCs w:val="24"/>
          <w:highlight w:val="none"/>
        </w:rPr>
        <w:t xml:space="preserve"> 。</w:t>
      </w:r>
    </w:p>
    <w:p>
      <w:pPr>
        <w:pStyle w:val="55"/>
        <w:adjustRightInd w:val="0"/>
        <w:snapToGrid w:val="0"/>
        <w:spacing w:before="0" w:beforeAutospacing="0" w:after="0" w:afterAutospacing="0" w:line="360" w:lineRule="auto"/>
        <w:ind w:firstLine="472"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2.合同</w:t>
      </w:r>
      <w:r>
        <w:rPr>
          <w:rFonts w:hint="eastAsia" w:asciiTheme="minorEastAsia" w:hAnsiTheme="minorEastAsia" w:eastAsiaTheme="minorEastAsia" w:cstheme="minorEastAsia"/>
          <w:highlight w:val="none"/>
          <w:u w:val="single"/>
        </w:rPr>
        <w:sym w:font="Wingdings" w:char="00FE"/>
      </w:r>
      <w:r>
        <w:rPr>
          <w:rFonts w:hint="eastAsia" w:asciiTheme="minorEastAsia" w:hAnsiTheme="minorEastAsia" w:eastAsiaTheme="minorEastAsia" w:cstheme="minorEastAsia"/>
          <w:highlight w:val="none"/>
          <w:u w:val="single"/>
        </w:rPr>
        <w:t xml:space="preserve">是  </w:t>
      </w:r>
      <w:r>
        <w:rPr>
          <w:rFonts w:hint="eastAsia" w:asciiTheme="minorEastAsia" w:hAnsiTheme="minorEastAsia" w:eastAsiaTheme="minorEastAsia" w:cstheme="minorEastAsia"/>
          <w:highlight w:val="none"/>
          <w:u w:val="single"/>
        </w:rPr>
        <w:sym w:font="Wingdings" w:char="00A8"/>
      </w:r>
      <w:r>
        <w:rPr>
          <w:rFonts w:hint="eastAsia" w:asciiTheme="minorEastAsia" w:hAnsiTheme="minorEastAsia" w:eastAsiaTheme="minorEastAsia" w:cstheme="minorEastAsia"/>
          <w:highlight w:val="none"/>
          <w:u w:val="single"/>
        </w:rPr>
        <w:t xml:space="preserve">否  </w:t>
      </w:r>
      <w:r>
        <w:rPr>
          <w:rFonts w:hint="eastAsia" w:asciiTheme="minorEastAsia" w:hAnsiTheme="minorEastAsia" w:eastAsiaTheme="minorEastAsia" w:cstheme="minorEastAsia"/>
          <w:highlight w:val="none"/>
        </w:rPr>
        <w:t>涉及货物。若涉及货物的，</w:t>
      </w:r>
      <w:r>
        <w:rPr>
          <w:rFonts w:hint="eastAsia" w:asciiTheme="minorEastAsia" w:hAnsiTheme="minorEastAsia" w:eastAsiaTheme="minorEastAsia" w:cstheme="minorEastAsia"/>
          <w:kern w:val="2"/>
          <w:highlight w:val="none"/>
        </w:rPr>
        <w:t xml:space="preserve">货物采用以下第 </w:t>
      </w:r>
      <w:r>
        <w:rPr>
          <w:rFonts w:hint="eastAsia" w:asciiTheme="minorEastAsia" w:hAnsiTheme="minorEastAsia" w:eastAsiaTheme="minorEastAsia" w:cstheme="minorEastAsia"/>
          <w:kern w:val="2"/>
          <w:highlight w:val="none"/>
          <w:u w:val="single"/>
        </w:rPr>
        <w:t xml:space="preserve">  （3） </w:t>
      </w:r>
      <w:r>
        <w:rPr>
          <w:rFonts w:hint="eastAsia" w:asciiTheme="minorEastAsia" w:hAnsiTheme="minorEastAsia" w:eastAsiaTheme="minorEastAsia" w:cstheme="minorEastAsia"/>
          <w:kern w:val="2"/>
          <w:highlight w:val="none"/>
        </w:rPr>
        <w:t>条款规定的计价方式计价。</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总价合同，单价和总价中均包括了设备费、材料费、运费、安装调试费、人工费、服务费、税金、杂费等所有费用，该价格已包含甲方为履行本合同所需的全部费用，未列明的分项视为优惠，本合同履行中，甲方不再另行支付货物的任何费用。</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（2）单价合同，</w:t>
      </w:r>
      <w:r>
        <w:rPr>
          <w:rFonts w:hint="eastAsia" w:asciiTheme="minorEastAsia" w:hAnsiTheme="minorEastAsia" w:eastAsiaTheme="minorEastAsia" w:cstheme="minorEastAsia"/>
          <w:sz w:val="24"/>
          <w:highlight w:val="none"/>
          <w:u w:val="single"/>
        </w:rPr>
        <w:t>按需更换、按实结算，货物总额控制</w:t>
      </w:r>
      <w:r>
        <w:rPr>
          <w:rFonts w:hint="eastAsia" w:asciiTheme="minorEastAsia" w:hAnsiTheme="minorEastAsia" w:eastAsiaTheme="minorEastAsia" w:cstheme="minorEastAsia"/>
          <w:sz w:val="24"/>
          <w:highlight w:val="none"/>
        </w:rPr>
        <w:t>。合同清单内货物价格为综合价格，含货款、税金、安装调试费、车辆费、工具费等所有费用。按需供货，按实结算；合同清单数量仅为甲方暂定数量，乙方须按照甲方的采购订单数量供货，实际订单数量可以大于或者小于合同暂定数量，乙方不得以超过合同暂定数量为由停止供货。</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分项价格如下：/</w:t>
      </w:r>
    </w:p>
    <w:p>
      <w:pPr>
        <w:adjustRightInd w:val="0"/>
        <w:snapToGrid w:val="0"/>
        <w:spacing w:line="360" w:lineRule="auto"/>
        <w:ind w:firstLine="236" w:firstLineChars="100"/>
        <w:rPr>
          <w:rFonts w:ascii="宋体" w:hAnsi="宋体" w:eastAsia="宋体" w:cs="宋体"/>
          <w:sz w:val="24"/>
          <w:highlight w:val="none"/>
          <w:u w:val="single"/>
        </w:rPr>
      </w:pPr>
      <w:r>
        <w:rPr>
          <w:rFonts w:hint="eastAsia" w:asciiTheme="minorEastAsia" w:hAnsiTheme="minorEastAsia" w:eastAsiaTheme="minorEastAsia" w:cstheme="minorEastAsia"/>
          <w:sz w:val="24"/>
          <w:highlight w:val="none"/>
        </w:rPr>
        <w:t>（3）</w:t>
      </w:r>
      <w:r>
        <w:rPr>
          <w:rFonts w:ascii="宋体" w:hAnsi="宋体" w:eastAsia="宋体" w:cs="宋体"/>
          <w:sz w:val="24"/>
          <w:highlight w:val="none"/>
        </w:rPr>
        <w:t>货物名称、品牌、规格型号：</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维护保养用抹布等其他消耗性材料包含在维护保养费用范围，由乙方承担，检查项涉及故障元器件由乙方免费维修。起重设备及抓斗的润滑脂、备件由甲方提供。备件规格、品种、数量，由乙方在设备运行一个月后，提供备件计划给甲方。</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维护保养用专用工具、安全防护用品包含在维护保养费用范围，均由乙方承担，包括但不限于气体检测仪、对讲机、各种千斤顶、手拉葫芦、电动葫芦（拉钢丝绳用）、万用表、安全带、防坠器、手电、防护服、防毒面具、口罩、抹布、敲击扳手、内六角扳手、抓斗电动加油器具等。</w:t>
      </w:r>
    </w:p>
    <w:p>
      <w:pPr>
        <w:pStyle w:val="2"/>
        <w:rPr>
          <w:highlight w:val="none"/>
        </w:rPr>
      </w:pPr>
    </w:p>
    <w:p>
      <w:pPr>
        <w:adjustRightInd w:val="0"/>
        <w:snapToGrid w:val="0"/>
        <w:spacing w:line="360" w:lineRule="auto"/>
        <w:ind w:firstLine="472" w:firstLineChars="200"/>
        <w:rPr>
          <w:rFonts w:asciiTheme="minorEastAsia" w:hAnsiTheme="minorEastAsia" w:eastAsiaTheme="minorEastAsia" w:cstheme="minorEastAsia"/>
          <w:sz w:val="24"/>
          <w:highlight w:val="none"/>
        </w:rPr>
      </w:pP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38" w:name="_Toc10340"/>
      <w:bookmarkStart w:id="139" w:name="_Toc22618"/>
      <w:bookmarkStart w:id="140" w:name="_Toc1814"/>
      <w:bookmarkStart w:id="141" w:name="_Toc31421"/>
      <w:bookmarkStart w:id="142" w:name="_Toc11108"/>
      <w:bookmarkStart w:id="143" w:name="_Toc4760"/>
      <w:bookmarkStart w:id="144" w:name="_Toc3625"/>
      <w:bookmarkStart w:id="145" w:name="_Toc8772"/>
      <w:r>
        <w:rPr>
          <w:rFonts w:hint="eastAsia" w:asciiTheme="minorEastAsia" w:hAnsiTheme="minorEastAsia" w:eastAsiaTheme="minorEastAsia" w:cstheme="minorEastAsia"/>
          <w:b/>
          <w:sz w:val="24"/>
          <w:highlight w:val="none"/>
        </w:rPr>
        <w:t>三、履行期限、地点、联系方式、交付方式</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1.服务交付（实施）的时间（期限）：</w:t>
      </w:r>
      <w:r>
        <w:rPr>
          <w:rFonts w:hint="eastAsia" w:asciiTheme="minorEastAsia" w:hAnsiTheme="minorEastAsia" w:eastAsiaTheme="minorEastAsia" w:cstheme="minorEastAsia"/>
          <w:sz w:val="24"/>
          <w:highlight w:val="none"/>
          <w:u w:val="single"/>
        </w:rPr>
        <w:t>自  年  月  日开始至   年  月   日结束</w:t>
      </w:r>
      <w:r>
        <w:rPr>
          <w:rFonts w:hint="eastAsia" w:asciiTheme="minorEastAsia" w:hAnsiTheme="minorEastAsia" w:eastAsiaTheme="minorEastAsia" w:cstheme="minorEastAsia"/>
          <w:sz w:val="24"/>
          <w:highlight w:val="none"/>
        </w:rPr>
        <w:t>；</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2.服务交付（实施）的地点（地域范围）：</w:t>
      </w:r>
      <w:r>
        <w:rPr>
          <w:rFonts w:hint="eastAsia" w:asciiTheme="minorEastAsia" w:hAnsiTheme="minorEastAsia" w:eastAsiaTheme="minorEastAsia" w:cstheme="minorEastAsia"/>
          <w:b/>
          <w:iCs/>
          <w:sz w:val="24"/>
          <w:highlight w:val="none"/>
          <w:u w:val="single"/>
        </w:rPr>
        <w:t xml:space="preserve">浙江省杭州市钱塘区临江街道红十五路10388-123号，杭州临江环境能源有限公司厂区内 </w:t>
      </w:r>
      <w:r>
        <w:rPr>
          <w:rFonts w:hint="eastAsia" w:asciiTheme="minorEastAsia" w:hAnsiTheme="minorEastAsia" w:eastAsiaTheme="minorEastAsia" w:cstheme="minorEastAsia"/>
          <w:iCs/>
          <w:sz w:val="24"/>
          <w:highlight w:val="none"/>
        </w:rPr>
        <w:t>；</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3.服务交付（实施）的方式：。</w:t>
      </w:r>
    </w:p>
    <w:p>
      <w:pPr>
        <w:adjustRightInd w:val="0"/>
        <w:snapToGrid w:val="0"/>
        <w:spacing w:line="360" w:lineRule="auto"/>
        <w:ind w:firstLine="472" w:firstLineChars="200"/>
        <w:outlineLvl w:val="0"/>
        <w:rPr>
          <w:rFonts w:asciiTheme="minorEastAsia" w:hAnsiTheme="minorEastAsia" w:eastAsiaTheme="minorEastAsia" w:cstheme="minorEastAsia"/>
          <w:sz w:val="24"/>
          <w:highlight w:val="none"/>
          <w:u w:val="single"/>
        </w:rPr>
      </w:pPr>
      <w:r>
        <w:rPr>
          <w:rFonts w:hint="eastAsia" w:asciiTheme="minorEastAsia" w:hAnsiTheme="minorEastAsia" w:eastAsiaTheme="minorEastAsia" w:cstheme="minorEastAsia"/>
          <w:bCs/>
          <w:sz w:val="24"/>
          <w:highlight w:val="none"/>
        </w:rPr>
        <w:t>4.</w:t>
      </w:r>
      <w:r>
        <w:rPr>
          <w:rFonts w:hint="eastAsia" w:asciiTheme="minorEastAsia" w:hAnsiTheme="minorEastAsia" w:eastAsiaTheme="minorEastAsia" w:cstheme="minorEastAsia"/>
          <w:sz w:val="24"/>
          <w:highlight w:val="none"/>
        </w:rPr>
        <w:t>交付甲方联系人及联系方式：</w:t>
      </w:r>
      <w:r>
        <w:rPr>
          <w:rFonts w:hint="eastAsia" w:asciiTheme="minorEastAsia" w:hAnsiTheme="minorEastAsia" w:eastAsiaTheme="minorEastAsia" w:cstheme="minorEastAsia"/>
          <w:sz w:val="24"/>
          <w:highlight w:val="none"/>
          <w:u w:val="single"/>
        </w:rPr>
        <w:t xml:space="preserve"> ；</w:t>
      </w:r>
    </w:p>
    <w:p>
      <w:pPr>
        <w:adjustRightInd w:val="0"/>
        <w:snapToGrid w:val="0"/>
        <w:spacing w:line="360" w:lineRule="auto"/>
        <w:ind w:firstLine="472" w:firstLineChars="200"/>
        <w:outlineLvl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5.乙方联系人及联系方式：</w:t>
      </w:r>
      <w:r>
        <w:rPr>
          <w:rFonts w:hint="eastAsia" w:asciiTheme="minorEastAsia" w:hAnsiTheme="minorEastAsia" w:eastAsiaTheme="minorEastAsia" w:cstheme="minorEastAsia"/>
          <w:sz w:val="24"/>
          <w:highlight w:val="none"/>
          <w:u w:val="single"/>
        </w:rPr>
        <w:t>；</w:t>
      </w:r>
    </w:p>
    <w:p>
      <w:pPr>
        <w:adjustRightInd w:val="0"/>
        <w:snapToGrid w:val="0"/>
        <w:spacing w:line="360" w:lineRule="auto"/>
        <w:ind w:firstLine="472" w:firstLineChars="200"/>
        <w:outlineLvl w:val="0"/>
        <w:rPr>
          <w:rFonts w:asciiTheme="minorEastAsia" w:hAnsiTheme="minorEastAsia" w:eastAsiaTheme="minorEastAsia" w:cstheme="minorEastAsia"/>
          <w:b/>
          <w:kern w:val="0"/>
          <w:sz w:val="24"/>
          <w:highlight w:val="none"/>
        </w:rPr>
      </w:pPr>
      <w:r>
        <w:rPr>
          <w:rFonts w:hint="eastAsia" w:asciiTheme="minorEastAsia" w:hAnsiTheme="minorEastAsia" w:eastAsiaTheme="minorEastAsia" w:cstheme="minorEastAsia"/>
          <w:b/>
          <w:kern w:val="0"/>
          <w:sz w:val="24"/>
          <w:highlight w:val="none"/>
        </w:rPr>
        <w:t>四、质量和服务要求</w:t>
      </w:r>
    </w:p>
    <w:p>
      <w:pPr>
        <w:adjustRightInd w:val="0"/>
        <w:snapToGrid w:val="0"/>
        <w:spacing w:line="360" w:lineRule="auto"/>
        <w:ind w:firstLine="472" w:firstLineChars="200"/>
        <w:rPr>
          <w:rFonts w:ascii="宋体" w:hAnsi="宋体" w:eastAsia="宋体"/>
          <w:sz w:val="24"/>
          <w:highlight w:val="none"/>
          <w:u w:val="single"/>
        </w:rPr>
      </w:pPr>
      <w:bookmarkStart w:id="146" w:name="_Toc6596"/>
      <w:bookmarkStart w:id="147" w:name="_Toc1125"/>
      <w:bookmarkStart w:id="148" w:name="_Toc14563"/>
      <w:r>
        <w:rPr>
          <w:rFonts w:ascii="宋体" w:hAnsi="宋体" w:eastAsia="宋体"/>
          <w:sz w:val="24"/>
          <w:highlight w:val="none"/>
        </w:rPr>
        <w:t>1.服务内容：</w:t>
      </w:r>
      <w:r>
        <w:rPr>
          <w:rFonts w:hint="eastAsia" w:ascii="宋体" w:hAnsi="宋体" w:eastAsia="宋体"/>
          <w:sz w:val="24"/>
          <w:highlight w:val="none"/>
          <w:u w:val="single"/>
        </w:rPr>
        <w:t>能源运行中心和三固运行中心的起重设备及抓斗清单见第三章合同清单，维保服务主要如下：</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w:t>
      </w:r>
      <w:r>
        <w:rPr>
          <w:rFonts w:ascii="宋体" w:hAnsi="宋体" w:eastAsia="宋体" w:cs="宋体"/>
          <w:sz w:val="24"/>
          <w:highlight w:val="none"/>
          <w:u w:val="single"/>
        </w:rPr>
        <w:t>定期（月度、季度、半年度、年度）对起重设备及抓斗进行检查、维护和保养，确保顺利通过政府技术监督部门年度审验工作。</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（2）</w:t>
      </w:r>
      <w:r>
        <w:rPr>
          <w:rFonts w:ascii="宋体" w:hAnsi="宋体" w:eastAsia="宋体" w:cs="宋体"/>
          <w:sz w:val="24"/>
          <w:highlight w:val="none"/>
          <w:u w:val="single"/>
        </w:rPr>
        <w:t>及时对设备故障进行故障性维修。</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（3）</w:t>
      </w:r>
      <w:r>
        <w:rPr>
          <w:rFonts w:ascii="宋体" w:hAnsi="宋体" w:eastAsia="宋体" w:cs="宋体"/>
          <w:sz w:val="24"/>
          <w:highlight w:val="none"/>
          <w:u w:val="single"/>
        </w:rPr>
        <w:t>及时组织人员、设备进行突发故障的抢修。</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（4）其中能源运行中心的起重设备及抓斗需提供驻场服务。</w:t>
      </w:r>
    </w:p>
    <w:p>
      <w:pPr>
        <w:adjustRightInd w:val="0"/>
        <w:snapToGrid w:val="0"/>
        <w:spacing w:line="360" w:lineRule="auto"/>
        <w:ind w:firstLine="472" w:firstLineChars="200"/>
        <w:rPr>
          <w:rFonts w:ascii="宋体" w:hAnsi="宋体" w:eastAsia="宋体"/>
          <w:sz w:val="24"/>
          <w:highlight w:val="none"/>
        </w:rPr>
      </w:pPr>
      <w:r>
        <w:rPr>
          <w:rFonts w:hint="eastAsia" w:ascii="宋体" w:hAnsi="宋体" w:eastAsia="宋体"/>
          <w:sz w:val="24"/>
          <w:highlight w:val="none"/>
        </w:rPr>
        <w:t>2</w:t>
      </w:r>
      <w:r>
        <w:rPr>
          <w:rFonts w:ascii="宋体" w:hAnsi="宋体" w:eastAsia="宋体"/>
          <w:sz w:val="24"/>
          <w:highlight w:val="none"/>
        </w:rPr>
        <w:t>.</w:t>
      </w:r>
      <w:r>
        <w:rPr>
          <w:rFonts w:hint="eastAsia" w:ascii="宋体" w:hAnsi="宋体" w:eastAsia="宋体"/>
          <w:sz w:val="24"/>
          <w:highlight w:val="none"/>
        </w:rPr>
        <w:t>服务标准要求（验收标准）</w:t>
      </w:r>
      <w:r>
        <w:rPr>
          <w:rFonts w:ascii="宋体" w:hAnsi="宋体" w:eastAsia="宋体"/>
          <w:sz w:val="24"/>
          <w:highlight w:val="none"/>
        </w:rPr>
        <w:t>：</w:t>
      </w:r>
      <w:r>
        <w:rPr>
          <w:rFonts w:hint="eastAsia" w:ascii="宋体" w:hAnsi="宋体" w:eastAsia="宋体"/>
          <w:sz w:val="24"/>
          <w:highlight w:val="none"/>
        </w:rPr>
        <w:t>设备稳定运行，故障及时维修，不得影响生产，主要如下：</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w:t>
      </w:r>
      <w:r>
        <w:rPr>
          <w:rFonts w:ascii="宋体" w:hAnsi="宋体" w:eastAsia="宋体" w:cs="宋体"/>
          <w:sz w:val="24"/>
          <w:highlight w:val="none"/>
          <w:u w:val="single"/>
        </w:rPr>
        <w:t>起重机、抓斗及设备“四保持”，保持设备外观、保持设备完整、保持设备性能、保持设备自动化水平。设备内外整洁，各转动面、油孔等处无油污，设备周围的杂物、脏物清扫干净；</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（2）</w:t>
      </w:r>
      <w:r>
        <w:rPr>
          <w:rFonts w:ascii="宋体" w:hAnsi="宋体" w:eastAsia="宋体" w:cs="宋体"/>
          <w:sz w:val="24"/>
          <w:highlight w:val="none"/>
          <w:u w:val="single"/>
        </w:rPr>
        <w:t>工具、附件、工件放置整齐；</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（3）</w:t>
      </w:r>
      <w:r>
        <w:rPr>
          <w:rFonts w:ascii="宋体" w:hAnsi="宋体" w:eastAsia="宋体" w:cs="宋体"/>
          <w:sz w:val="24"/>
          <w:highlight w:val="none"/>
          <w:u w:val="single"/>
        </w:rPr>
        <w:t>润滑良好，无干磨现象；</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（4）</w:t>
      </w:r>
      <w:r>
        <w:rPr>
          <w:rFonts w:ascii="宋体" w:hAnsi="宋体" w:eastAsia="宋体" w:cs="宋体"/>
          <w:sz w:val="24"/>
          <w:highlight w:val="none"/>
          <w:u w:val="single"/>
        </w:rPr>
        <w:t>遵守安全操作规程；</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（5）</w:t>
      </w:r>
      <w:r>
        <w:rPr>
          <w:rFonts w:ascii="宋体" w:hAnsi="宋体" w:eastAsia="宋体" w:cs="宋体"/>
          <w:sz w:val="24"/>
          <w:highlight w:val="none"/>
          <w:u w:val="single"/>
        </w:rPr>
        <w:t>维保完毕后的设备稳定可靠</w:t>
      </w:r>
      <w:r>
        <w:rPr>
          <w:rFonts w:hint="eastAsia" w:ascii="宋体" w:hAnsi="宋体" w:eastAsia="宋体" w:cs="宋体"/>
          <w:sz w:val="24"/>
          <w:highlight w:val="none"/>
          <w:u w:val="single"/>
        </w:rPr>
        <w:t>，</w:t>
      </w:r>
      <w:r>
        <w:rPr>
          <w:rFonts w:ascii="宋体" w:hAnsi="宋体" w:eastAsia="宋体" w:cs="宋体"/>
          <w:sz w:val="24"/>
          <w:highlight w:val="none"/>
          <w:u w:val="single"/>
        </w:rPr>
        <w:t>性能完全符合行车和抓斗等相关行业标准技术、性能要求，满足甲方实际使用工况；</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6）甲方提供的备件在未达到使用寿命（备件正常使用寿命以备件供应商保证时间为准）损坏时，乙方须提供备件损害分析报告，因乙方检修维护不当造成的（如：划线电缆绑扎不到位或是滑车防撞块更换不及时导致的划线电缆被拉断，钢丝绳、起升链条及销轴检查、维护不到位造成的断裂及其他后果或液压系统检查不到位造成的跑油等），相关费用由乙方负责；高价值备件（单价5000元及以上的）未达到使用寿命损坏，且非操作原因和备件质量问题导致，相关备件费用由乙方负责；</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（7）乙方在接到甲方人员电话通知，应及时到达检修现场（白天不超过</w:t>
      </w:r>
      <w:r>
        <w:rPr>
          <w:rFonts w:ascii="宋体" w:hAnsi="宋体" w:eastAsia="宋体" w:cs="宋体"/>
          <w:sz w:val="24"/>
          <w:highlight w:val="none"/>
          <w:u w:val="single"/>
        </w:rPr>
        <w:t>15</w:t>
      </w:r>
      <w:r>
        <w:rPr>
          <w:rFonts w:hint="eastAsia" w:ascii="宋体" w:hAnsi="宋体" w:eastAsia="宋体" w:cs="宋体"/>
          <w:sz w:val="24"/>
          <w:highlight w:val="none"/>
          <w:u w:val="single"/>
        </w:rPr>
        <w:t>分钟，夜晚不超过</w:t>
      </w:r>
      <w:r>
        <w:rPr>
          <w:rFonts w:ascii="宋体" w:hAnsi="宋体" w:eastAsia="宋体" w:cs="宋体"/>
          <w:sz w:val="24"/>
          <w:highlight w:val="none"/>
          <w:u w:val="single"/>
        </w:rPr>
        <w:t>20</w:t>
      </w:r>
      <w:r>
        <w:rPr>
          <w:rFonts w:hint="eastAsia" w:ascii="宋体" w:hAnsi="宋体" w:eastAsia="宋体" w:cs="宋体"/>
          <w:sz w:val="24"/>
          <w:highlight w:val="none"/>
          <w:u w:val="single"/>
        </w:rPr>
        <w:t>分钟）；常规缺陷如：（</w:t>
      </w:r>
      <w:r>
        <w:rPr>
          <w:rFonts w:ascii="宋体" w:hAnsi="宋体" w:eastAsia="宋体" w:cs="宋体"/>
          <w:sz w:val="24"/>
          <w:highlight w:val="none"/>
          <w:u w:val="single"/>
        </w:rPr>
        <w:t>1）抓斗油缸损坏，2小时内完</w:t>
      </w:r>
      <w:r>
        <w:rPr>
          <w:rFonts w:hint="eastAsia" w:ascii="宋体" w:hAnsi="宋体" w:eastAsia="宋体" w:cs="宋体"/>
          <w:sz w:val="24"/>
          <w:highlight w:val="none"/>
          <w:u w:val="single"/>
        </w:rPr>
        <w:t>成</w:t>
      </w:r>
      <w:r>
        <w:rPr>
          <w:rFonts w:ascii="宋体" w:hAnsi="宋体" w:eastAsia="宋体" w:cs="宋体"/>
          <w:sz w:val="24"/>
          <w:highlight w:val="none"/>
          <w:u w:val="single"/>
        </w:rPr>
        <w:t>检修更换工作；（2）抓斗钢丝绳断裂</w:t>
      </w:r>
      <w:r>
        <w:rPr>
          <w:rFonts w:hint="eastAsia" w:ascii="宋体" w:hAnsi="宋体" w:eastAsia="宋体" w:cs="宋体"/>
          <w:sz w:val="24"/>
          <w:highlight w:val="none"/>
          <w:u w:val="single"/>
        </w:rPr>
        <w:t>，</w:t>
      </w:r>
      <w:r>
        <w:rPr>
          <w:rFonts w:ascii="宋体" w:hAnsi="宋体" w:eastAsia="宋体" w:cs="宋体"/>
          <w:sz w:val="24"/>
          <w:highlight w:val="none"/>
          <w:u w:val="single"/>
        </w:rPr>
        <w:t>6小时内完成检修更换工作</w:t>
      </w:r>
      <w:r>
        <w:rPr>
          <w:rFonts w:hint="eastAsia" w:ascii="宋体" w:hAnsi="宋体" w:eastAsia="宋体" w:cs="宋体"/>
          <w:sz w:val="24"/>
          <w:highlight w:val="none"/>
          <w:u w:val="single"/>
        </w:rPr>
        <w:t>；（</w:t>
      </w:r>
      <w:r>
        <w:rPr>
          <w:rFonts w:ascii="宋体" w:hAnsi="宋体" w:eastAsia="宋体" w:cs="宋体"/>
          <w:sz w:val="24"/>
          <w:highlight w:val="none"/>
          <w:u w:val="single"/>
        </w:rPr>
        <w:t>3）垃圾吊行车车轮更换、小车车轮更换</w:t>
      </w:r>
      <w:r>
        <w:rPr>
          <w:rFonts w:hint="eastAsia" w:ascii="宋体" w:hAnsi="宋体" w:eastAsia="宋体" w:cs="宋体"/>
          <w:sz w:val="24"/>
          <w:highlight w:val="none"/>
          <w:u w:val="single"/>
        </w:rPr>
        <w:t>，24小时内完成；</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（8）</w:t>
      </w:r>
      <w:r>
        <w:rPr>
          <w:rFonts w:ascii="宋体" w:hAnsi="宋体" w:eastAsia="宋体" w:cs="宋体"/>
          <w:sz w:val="24"/>
          <w:highlight w:val="none"/>
          <w:u w:val="single"/>
        </w:rPr>
        <w:t>乙方维保人员必须是技术过硬、有能力胜任该工作的专业技术人员</w:t>
      </w:r>
      <w:r>
        <w:rPr>
          <w:rFonts w:hint="eastAsia" w:ascii="宋体" w:hAnsi="宋体" w:eastAsia="宋体" w:cs="宋体"/>
          <w:sz w:val="24"/>
          <w:highlight w:val="none"/>
          <w:u w:val="single"/>
        </w:rPr>
        <w:t>，有科尼行车和佩纳抓斗的检修维护经验，当乙方维保人员的检修质量和效率无法满足甲方要求时，甲方有权要求乙方更换维保人员</w:t>
      </w:r>
      <w:r>
        <w:rPr>
          <w:rFonts w:ascii="宋体" w:hAnsi="宋体" w:eastAsia="宋体" w:cs="宋体"/>
          <w:sz w:val="24"/>
          <w:highlight w:val="none"/>
          <w:u w:val="single"/>
        </w:rPr>
        <w:t>；</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（9）电气一类缺陷（垃圾吊故障影响垃圾吊正常运行或是影响锅炉上料的缺陷，包括但不限于：安全模块故障、通讯中断等）应在</w:t>
      </w:r>
      <w:r>
        <w:rPr>
          <w:rFonts w:ascii="宋体" w:hAnsi="宋体" w:eastAsia="宋体" w:cs="宋体"/>
          <w:sz w:val="24"/>
          <w:highlight w:val="none"/>
          <w:u w:val="single"/>
        </w:rPr>
        <w:t>8小时内消除；</w:t>
      </w:r>
      <w:r>
        <w:rPr>
          <w:rFonts w:hint="eastAsia" w:ascii="宋体" w:hAnsi="宋体" w:eastAsia="宋体" w:cs="宋体"/>
          <w:sz w:val="24"/>
          <w:highlight w:val="none"/>
          <w:u w:val="single"/>
        </w:rPr>
        <w:t>电气二类缺陷（垃圾吊故障可以短期带病运行且不影响锅炉上料的缺陷）应在</w:t>
      </w:r>
      <w:r>
        <w:rPr>
          <w:rFonts w:ascii="宋体" w:hAnsi="宋体" w:eastAsia="宋体" w:cs="宋体"/>
          <w:sz w:val="24"/>
          <w:highlight w:val="none"/>
          <w:u w:val="single"/>
        </w:rPr>
        <w:t>24小时内消除；</w:t>
      </w:r>
      <w:r>
        <w:rPr>
          <w:rFonts w:hint="eastAsia" w:ascii="宋体" w:hAnsi="宋体" w:eastAsia="宋体" w:cs="宋体"/>
          <w:sz w:val="24"/>
          <w:highlight w:val="none"/>
          <w:u w:val="single"/>
        </w:rPr>
        <w:t>电气三类缺陷（</w:t>
      </w:r>
      <w:r>
        <w:rPr>
          <w:rFonts w:ascii="宋体" w:hAnsi="宋体" w:eastAsia="宋体" w:cs="宋体"/>
          <w:sz w:val="24"/>
          <w:highlight w:val="none"/>
          <w:u w:val="single"/>
        </w:rPr>
        <w:t>其他常规缺陷</w:t>
      </w:r>
      <w:r>
        <w:rPr>
          <w:rFonts w:hint="eastAsia" w:ascii="宋体" w:hAnsi="宋体" w:eastAsia="宋体" w:cs="宋体"/>
          <w:sz w:val="24"/>
          <w:highlight w:val="none"/>
          <w:u w:val="single"/>
        </w:rPr>
        <w:t>）应在48</w:t>
      </w:r>
      <w:r>
        <w:rPr>
          <w:rFonts w:ascii="宋体" w:hAnsi="宋体" w:eastAsia="宋体" w:cs="宋体"/>
          <w:sz w:val="24"/>
          <w:highlight w:val="none"/>
          <w:u w:val="single"/>
        </w:rPr>
        <w:t>小时内消除；暂时无法消除的缺陷，必须征得</w:t>
      </w:r>
      <w:r>
        <w:rPr>
          <w:rFonts w:hint="eastAsia" w:ascii="宋体" w:hAnsi="宋体" w:eastAsia="宋体" w:cs="宋体"/>
          <w:sz w:val="24"/>
          <w:highlight w:val="none"/>
          <w:u w:val="single"/>
        </w:rPr>
        <w:t>甲方确认同意，可以进行延期处理。</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（10）</w:t>
      </w:r>
      <w:r>
        <w:rPr>
          <w:rFonts w:ascii="宋体" w:hAnsi="宋体" w:eastAsia="宋体" w:cs="宋体"/>
          <w:sz w:val="24"/>
          <w:highlight w:val="none"/>
          <w:u w:val="single"/>
        </w:rPr>
        <w:t>乙方所更换的材料必须为全新的、未使用过的正品，并且完全满足项目对材料或设备在质量、规格、性能方面要求。</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（11）每次检修记录、定期保养、称重校验等检修维保工作完成后须通知甲方人员验收，相关技术资料应完备，每月移交甲方审核存档。</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（12）乙方每月的缺陷消除率不低于95%，每天对垃圾吊进行检查，每台行车、抓斗每周检查保养不少于两次。</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（13）乙方应配合完成行车、抓斗的定期检验、称重效验等工作。</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（14）遇到危及机组安全稳定运行或人身设备安全的重大缺陷消除时，乙方技术人员必须编制技术方案，报甲方审批后方可实施。</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（15）乙方驻厂技术人员应至少提前一周进驻项目现场，完成甲方要求的进厂手续，熟悉甲方设备及相关资料。</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（16）乙方每次领用备件前应将相应损坏备件归还入库，经甲方确认后方可领用新备件。</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（17）备用抓斗（共4台），乙方应保证每天至少2台处于完好备用状态。</w:t>
      </w:r>
    </w:p>
    <w:p>
      <w:pPr>
        <w:adjustRightInd w:val="0"/>
        <w:snapToGrid w:val="0"/>
        <w:spacing w:line="360" w:lineRule="auto"/>
        <w:ind w:firstLine="472" w:firstLineChars="200"/>
        <w:rPr>
          <w:rFonts w:ascii="宋体" w:hAnsi="宋体" w:eastAsia="宋体" w:cs="宋体"/>
          <w:sz w:val="24"/>
          <w:highlight w:val="none"/>
          <w:u w:val="single"/>
        </w:rPr>
      </w:pPr>
      <w:r>
        <w:rPr>
          <w:rFonts w:hint="eastAsia" w:ascii="宋体" w:hAnsi="宋体" w:eastAsia="宋体" w:cs="宋体"/>
          <w:sz w:val="24"/>
          <w:highlight w:val="none"/>
          <w:u w:val="single"/>
        </w:rPr>
        <w:t>（18）桥门式起重机操作人员、起重机指挥人员、安全管理人员、金属焊接人员必须持证上岗</w:t>
      </w:r>
      <w:r>
        <w:rPr>
          <w:rFonts w:ascii="宋体" w:hAnsi="宋体" w:eastAsia="宋体" w:cs="宋体"/>
          <w:sz w:val="24"/>
          <w:highlight w:val="none"/>
          <w:u w:val="single"/>
        </w:rPr>
        <w:t>。</w:t>
      </w:r>
    </w:p>
    <w:p>
      <w:pPr>
        <w:adjustRightInd w:val="0"/>
        <w:snapToGrid w:val="0"/>
        <w:spacing w:line="360" w:lineRule="auto"/>
        <w:ind w:firstLine="472" w:firstLineChars="200"/>
        <w:rPr>
          <w:rFonts w:ascii="宋体" w:hAnsi="宋体" w:eastAsia="宋体"/>
          <w:sz w:val="24"/>
          <w:highlight w:val="none"/>
        </w:rPr>
      </w:pPr>
      <w:r>
        <w:rPr>
          <w:rFonts w:hint="eastAsia" w:ascii="宋体" w:hAnsi="宋体" w:eastAsia="宋体" w:cs="宋体"/>
          <w:sz w:val="24"/>
          <w:highlight w:val="none"/>
          <w:u w:val="single"/>
        </w:rPr>
        <w:t>3.</w:t>
      </w:r>
      <w:r>
        <w:rPr>
          <w:rFonts w:ascii="宋体" w:hAnsi="宋体" w:eastAsia="宋体" w:cs="宋体"/>
          <w:sz w:val="24"/>
          <w:highlight w:val="none"/>
          <w:u w:val="single"/>
        </w:rPr>
        <w:t>技术保障</w:t>
      </w:r>
      <w:r>
        <w:rPr>
          <w:rFonts w:hint="eastAsia" w:ascii="宋体" w:hAnsi="宋体" w:eastAsia="宋体" w:cs="宋体"/>
          <w:sz w:val="24"/>
          <w:highlight w:val="none"/>
          <w:u w:val="single"/>
        </w:rPr>
        <w:t>：3</w:t>
      </w:r>
      <w:r>
        <w:rPr>
          <w:rFonts w:hint="eastAsia" w:ascii="宋体" w:hAnsi="宋体" w:eastAsia="宋体"/>
          <w:sz w:val="24"/>
          <w:highlight w:val="none"/>
        </w:rPr>
        <w:t>65天*24小时驻厂技术服务人员不少于</w:t>
      </w:r>
      <w:r>
        <w:rPr>
          <w:rFonts w:ascii="宋体" w:hAnsi="宋体" w:eastAsia="宋体"/>
          <w:sz w:val="24"/>
          <w:highlight w:val="none"/>
        </w:rPr>
        <w:t>6人</w:t>
      </w:r>
      <w:r>
        <w:rPr>
          <w:rFonts w:hint="eastAsia" w:ascii="宋体" w:hAnsi="宋体" w:eastAsia="宋体"/>
          <w:sz w:val="24"/>
          <w:highlight w:val="none"/>
        </w:rPr>
        <w:t>（含节假日，24小时/天）</w:t>
      </w:r>
      <w:r>
        <w:rPr>
          <w:rFonts w:ascii="宋体" w:hAnsi="宋体" w:eastAsia="宋体"/>
          <w:sz w:val="24"/>
          <w:highlight w:val="none"/>
        </w:rPr>
        <w:t>，机械维修人员不少</w:t>
      </w:r>
      <w:r>
        <w:rPr>
          <w:rFonts w:hint="eastAsia" w:ascii="宋体" w:hAnsi="宋体" w:eastAsia="宋体"/>
          <w:sz w:val="24"/>
          <w:highlight w:val="none"/>
        </w:rPr>
        <w:t>于</w:t>
      </w:r>
      <w:r>
        <w:rPr>
          <w:rFonts w:ascii="宋体" w:hAnsi="宋体" w:eastAsia="宋体"/>
          <w:sz w:val="24"/>
          <w:highlight w:val="none"/>
        </w:rPr>
        <w:t>3人，仪控电气维修人员不少</w:t>
      </w:r>
      <w:r>
        <w:rPr>
          <w:rFonts w:hint="eastAsia" w:ascii="宋体" w:hAnsi="宋体" w:eastAsia="宋体"/>
          <w:sz w:val="24"/>
          <w:highlight w:val="none"/>
        </w:rPr>
        <w:t>于3</w:t>
      </w:r>
      <w:r>
        <w:rPr>
          <w:rFonts w:ascii="宋体" w:hAnsi="宋体" w:eastAsia="宋体"/>
          <w:sz w:val="24"/>
          <w:highlight w:val="none"/>
        </w:rPr>
        <w:t>人；</w:t>
      </w:r>
      <w:r>
        <w:rPr>
          <w:rFonts w:hint="eastAsia" w:ascii="宋体" w:hAnsi="宋体" w:eastAsia="宋体"/>
          <w:sz w:val="24"/>
          <w:highlight w:val="none"/>
        </w:rPr>
        <w:t>驻厂技术服务人员因任何原因需离开甲方项目现场的，在不影响甲方生产的情况下，须提前派遣同等能力的人员接替，并向甲方提出书面申请，经甲方书面同意后方可离开项目现场；</w:t>
      </w:r>
    </w:p>
    <w:p>
      <w:pPr>
        <w:adjustRightInd w:val="0"/>
        <w:snapToGrid w:val="0"/>
        <w:spacing w:line="360" w:lineRule="auto"/>
        <w:ind w:firstLine="354" w:firstLineChars="15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4.服务人员组成：</w:t>
      </w:r>
      <w:r>
        <w:rPr>
          <w:rFonts w:hint="eastAsia" w:asciiTheme="minorEastAsia" w:hAnsiTheme="minorEastAsia" w:eastAsiaTheme="minorEastAsia" w:cstheme="minorEastAsia"/>
          <w:sz w:val="24"/>
          <w:highlight w:val="none"/>
          <w:u w:val="single"/>
        </w:rPr>
        <w:t>电仪： 机械：，</w:t>
      </w:r>
      <w:r>
        <w:rPr>
          <w:rFonts w:hint="eastAsia" w:asciiTheme="minorEastAsia" w:hAnsiTheme="minorEastAsia" w:eastAsiaTheme="minorEastAsia" w:cstheme="minorEastAsia"/>
          <w:sz w:val="24"/>
          <w:highlight w:val="none"/>
        </w:rPr>
        <w:t>当乙方人员不能满足甲方项目现场需求时，乙方应及时更换或增加技术人员，直至满足项目现场需求。</w:t>
      </w:r>
    </w:p>
    <w:p>
      <w:pPr>
        <w:pStyle w:val="55"/>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5. 甲方权利与义务</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审查乙方的资质和检查其安全、质量管理体系及实施情况。</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负责对乙方设备维修、管理工作的检查、指导、监督与考核。</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负责制订或提供点检作业标准、维修技术标准及其他技术资料。</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审核乙方提供的维修进度计划、技术方案等。</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将每日缺陷及时通知乙方，并制订消缺进度。</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提供检修计划并及时组织实施。</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负责待检修设备与系统的解列、采取相应的隔离措施有效隔断各项能源介质并对维修工作提供施工的便利条件。</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提供由甲方负责的备品配件、材料和专用工具（由乙方派员领料、搬运）。</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甲方有权要求乙方撤换不能胜任工作或玩忽职守的人员，并不得重返生产现场，由此造成的后果由乙方自负。乙方新补充人员必须得到甲方的认可。</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发生紧急情况时，乙方因技术力量不足或准备不及时等因素无法处理或延误时间等，甲方有权另行委托其他施工队伍进行紧急处理，乙方应承担由此造成的损失。</w:t>
      </w:r>
    </w:p>
    <w:p>
      <w:pPr>
        <w:pStyle w:val="55"/>
        <w:numPr>
          <w:ilvl w:val="0"/>
          <w:numId w:val="5"/>
        </w:numPr>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甲方对乙方在岗人员实行点名考勤。</w:t>
      </w:r>
    </w:p>
    <w:p>
      <w:pPr>
        <w:pStyle w:val="55"/>
        <w:adjustRightInd w:val="0"/>
        <w:snapToGrid w:val="0"/>
        <w:spacing w:before="0" w:beforeAutospacing="0" w:after="0" w:afterAutospacing="0" w:line="360" w:lineRule="auto"/>
        <w:rPr>
          <w:rFonts w:asciiTheme="minorEastAsia" w:hAnsiTheme="minorEastAsia" w:eastAsiaTheme="minorEastAsia" w:cstheme="minorEastAsia"/>
          <w:snapToGrid w:val="0"/>
          <w:szCs w:val="21"/>
          <w:highlight w:val="none"/>
        </w:rPr>
      </w:pPr>
      <w:r>
        <w:rPr>
          <w:rFonts w:hint="eastAsia" w:asciiTheme="minorEastAsia" w:hAnsiTheme="minorEastAsia" w:eastAsiaTheme="minorEastAsia" w:cstheme="minorEastAsia"/>
          <w:snapToGrid w:val="0"/>
          <w:szCs w:val="21"/>
          <w:highlight w:val="none"/>
        </w:rPr>
        <w:t>6. 乙方权利与义务</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乙方实行自主经营、自负盈亏、自主管理的经营模式。乙方应根据甲方设备运行、维护的需要，在现场设立完善的组织机构，并服从甲方的生产指挥管理。</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乙方承担在甲方隶属企业范围内工作期间所发生的一切经济安全责任以及应承担的法律责任。</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乙方在服务期间，应严格遵守国家相关的法律、法规，以及甲方所制定的各项规章制度，积极主动接受甲方对设备维护、检修、设备管理工作的检查、指导、监督与考核。</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乙方必须参与甲方的管理体系，与甲方同步进行环境因素识别、安全性评价与危险源点控制管理，并达到甲方提出的相应的管理目标与管理要求。</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根据甲方的要求建立管理文件，做好各种资料的记录和整理，并接受甲方相关部门的监督检查。</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提供参与甲方维修检修的全部人员名单、岗位、技术等级等资料，项目负责人、技术人员和主要维修人员人数，应与投标文件中的名单相符，并能长期驻守现场。任何情况下的人员变动都应提前通知甲方，并需征得甲方的同意。</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对在设备维护、检修过程中发现的系统设计、设备制造、安装或其他任何形式错误、遗漏、误差和缺陷及时以书面形式通知甲方。</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根据设备实际运行情况，有责任提出设备改进的建议并制定措施。针对设备及工艺的缺陷、隐患积极提出合理化建议并组织实施。应积极主动地参与甲方所列攻关项目的实施与改进。</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提供为完成设备维护检修任务所必需的劳务、一般性消耗材料、工器具、劳动保护用品及其他物品。</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负责安排工作人员24小时值班（含节假日），通讯联络畅通，随叫随到，及时处理现场缺陷，如发生因乙方延误原因造成的后果，由乙方承担相应责任。</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乙方对所检修设备和区域的管理负责期间，不可对负责范围以外的区域造成环境污染、引起不安全现象或产生影响人员健康的因素。由于乙方原因造成的环境污染、安全事故，由乙方负全部责任。</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负责对甲方提供的专用工器具进行维护和保养。</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乙方应对甲方所提供方便的检修车间、值班办公室等场所及附属设施进行相应的维护和保养，出现设备或设施的损坏应由乙方负责修复或赔偿。</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服务期间，甲方有权对乙方施工人员进行监督管理。乙方自觉接受甲方技术、安全、质量监督及现场管理人员的领导。</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乙方在服务期间，应无条件完成甲方任何应急任务的实施。甲方有权在应急情况下指挥调配乙方工作人员。</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乙方应严格按照甲方检修计划组织施工，检修计划不得无故拖延。</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负责管理乙方工作人员，按照国家安全生产及甲方的有关规定与之签订安全协议，并进行安全知识培训。因乙方原因造成的设备损坏及人身伤亡等事故均由乙方承担，甲方所支付的费用中已包含了各种伤害、保险、损失、生活费等全部费用。</w:t>
      </w:r>
    </w:p>
    <w:p>
      <w:pPr>
        <w:pStyle w:val="42"/>
        <w:numPr>
          <w:ilvl w:val="1"/>
          <w:numId w:val="6"/>
        </w:numPr>
        <w:adjustRightInd w:val="0"/>
        <w:snapToGrid w:val="0"/>
        <w:spacing w:line="360" w:lineRule="auto"/>
        <w:ind w:firstLineChars="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包括招标文件中要求的其他在上述条款中未提及的事项。</w:t>
      </w:r>
    </w:p>
    <w:p>
      <w:pPr>
        <w:adjustRightInd w:val="0"/>
        <w:snapToGrid w:val="0"/>
        <w:ind w:firstLine="354" w:firstLineChars="150"/>
        <w:rPr>
          <w:rFonts w:ascii="宋体" w:hAnsi="宋体" w:eastAsia="宋体"/>
          <w:sz w:val="24"/>
          <w:highlight w:val="none"/>
        </w:rPr>
      </w:pP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五、检验和验收</w:t>
      </w:r>
      <w:bookmarkEnd w:id="146"/>
      <w:bookmarkEnd w:id="147"/>
      <w:bookmarkEnd w:id="148"/>
    </w:p>
    <w:p>
      <w:pPr>
        <w:tabs>
          <w:tab w:val="left" w:pos="360"/>
          <w:tab w:val="left" w:pos="540"/>
          <w:tab w:val="left" w:pos="1080"/>
        </w:tabs>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1.乙方按照合同的约定，完成合同约定的工作内容，甲方按照合同的约定要求进行验收。若甲方认为有必要可依法邀请相关方参加。</w:t>
      </w:r>
      <w:r>
        <w:rPr>
          <w:rFonts w:hint="eastAsia" w:asciiTheme="minorEastAsia" w:hAnsiTheme="minorEastAsia" w:eastAsiaTheme="minorEastAsia" w:cstheme="minorEastAsia"/>
          <w:b/>
          <w:bCs/>
          <w:sz w:val="24"/>
          <w:highlight w:val="none"/>
        </w:rPr>
        <w:t>若有验收特别约定的，按特别约定条款执行。</w:t>
      </w:r>
    </w:p>
    <w:p>
      <w:pPr>
        <w:tabs>
          <w:tab w:val="left" w:pos="360"/>
          <w:tab w:val="left" w:pos="540"/>
          <w:tab w:val="left" w:pos="1080"/>
        </w:tabs>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2.合同期满或者履行完毕后，甲方有权组织（包括依法邀请国家认可的质量检测机构参加）对乙方履约的验收，即：按照合同约定的标准，组织对乙方履约情况的验收，并出具</w:t>
      </w:r>
      <w:r>
        <w:rPr>
          <w:rFonts w:hint="eastAsia" w:asciiTheme="minorEastAsia" w:hAnsiTheme="minorEastAsia" w:eastAsiaTheme="minorEastAsia" w:cstheme="minorEastAsia"/>
          <w:b/>
          <w:bCs/>
          <w:sz w:val="24"/>
          <w:highlight w:val="none"/>
        </w:rPr>
        <w:t>验收单或者验收报告</w:t>
      </w:r>
      <w:r>
        <w:rPr>
          <w:rFonts w:hint="eastAsia" w:asciiTheme="minorEastAsia" w:hAnsiTheme="minorEastAsia" w:eastAsiaTheme="minorEastAsia" w:cstheme="minorEastAsia"/>
          <w:sz w:val="24"/>
          <w:highlight w:val="none"/>
        </w:rPr>
        <w:t>。</w:t>
      </w:r>
    </w:p>
    <w:p>
      <w:pPr>
        <w:tabs>
          <w:tab w:val="left" w:pos="360"/>
          <w:tab w:val="left" w:pos="540"/>
          <w:tab w:val="left" w:pos="1080"/>
        </w:tabs>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3.检验和验收标准、程序等具体内容以及前述验收书的效力如下：有合法资质第三方机构验收单或者验收报告效力〉甲方的验收单或者验收报告〉合格证或出厂检测报告。 </w:t>
      </w:r>
    </w:p>
    <w:p>
      <w:pPr>
        <w:tabs>
          <w:tab w:val="left" w:pos="360"/>
          <w:tab w:val="left" w:pos="540"/>
          <w:tab w:val="left" w:pos="1080"/>
        </w:tabs>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4.因检测产生的一切费用由乙方承担。</w:t>
      </w:r>
    </w:p>
    <w:p>
      <w:pPr>
        <w:pStyle w:val="8"/>
        <w:adjustRightInd w:val="0"/>
        <w:snapToGrid w:val="0"/>
        <w:spacing w:line="360" w:lineRule="auto"/>
        <w:ind w:firstLine="472" w:firstLineChars="200"/>
        <w:rPr>
          <w:rFonts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napToGrid w:val="0"/>
          <w:sz w:val="24"/>
          <w:szCs w:val="24"/>
          <w:highlight w:val="none"/>
        </w:rPr>
        <w:t>六、</w:t>
      </w:r>
      <w:r>
        <w:rPr>
          <w:rFonts w:hint="eastAsia" w:asciiTheme="minorEastAsia" w:hAnsiTheme="minorEastAsia" w:eastAsiaTheme="minorEastAsia" w:cstheme="minorEastAsia"/>
          <w:b/>
          <w:sz w:val="24"/>
          <w:szCs w:val="24"/>
          <w:highlight w:val="none"/>
        </w:rPr>
        <w:t>验收特别约定条款</w:t>
      </w:r>
    </w:p>
    <w:p>
      <w:pPr>
        <w:tabs>
          <w:tab w:val="left" w:pos="360"/>
          <w:tab w:val="left" w:pos="540"/>
          <w:tab w:val="left" w:pos="1080"/>
        </w:tabs>
        <w:adjustRightInd w:val="0"/>
        <w:snapToGrid w:val="0"/>
        <w:spacing w:line="360" w:lineRule="auto"/>
        <w:ind w:firstLine="472" w:firstLineChars="200"/>
        <w:rPr>
          <w:rFonts w:asciiTheme="minorEastAsia" w:hAnsiTheme="minorEastAsia" w:eastAsiaTheme="minorEastAsia" w:cstheme="minorEastAsia"/>
          <w:sz w:val="24"/>
          <w:highlight w:val="none"/>
          <w:u w:val="single"/>
        </w:rPr>
      </w:pPr>
      <w:r>
        <w:rPr>
          <w:rFonts w:hint="eastAsia" w:asciiTheme="minorEastAsia" w:hAnsiTheme="minorEastAsia" w:eastAsiaTheme="minorEastAsia" w:cstheme="minorEastAsia"/>
          <w:sz w:val="24"/>
          <w:highlight w:val="none"/>
        </w:rPr>
        <w:t>1.</w:t>
      </w:r>
      <w:r>
        <w:rPr>
          <w:rFonts w:hint="eastAsia" w:asciiTheme="minorEastAsia" w:hAnsiTheme="minorEastAsia" w:eastAsiaTheme="minorEastAsia" w:cstheme="minorEastAsia"/>
          <w:sz w:val="24"/>
          <w:highlight w:val="none"/>
          <w:u w:val="single"/>
        </w:rPr>
        <w:t xml:space="preserve">  / 。</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b/>
          <w:highlight w:val="none"/>
        </w:rPr>
      </w:pPr>
      <w:r>
        <w:rPr>
          <w:rFonts w:hint="eastAsia" w:asciiTheme="minorEastAsia" w:hAnsiTheme="minorEastAsia" w:eastAsiaTheme="minorEastAsia" w:cstheme="minorEastAsia"/>
          <w:b/>
          <w:highlight w:val="none"/>
        </w:rPr>
        <w:t>七、履约保证金</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乙方</w:t>
      </w:r>
      <w:r>
        <w:rPr>
          <w:rFonts w:hint="eastAsia" w:asciiTheme="minorEastAsia" w:hAnsiTheme="minorEastAsia" w:eastAsiaTheme="minorEastAsia" w:cstheme="minorEastAsia"/>
          <w:highlight w:val="none"/>
          <w:u w:val="single"/>
        </w:rPr>
        <w:sym w:font="Wingdings" w:char="F0FE"/>
      </w:r>
      <w:r>
        <w:rPr>
          <w:rFonts w:hint="eastAsia" w:asciiTheme="minorEastAsia" w:hAnsiTheme="minorEastAsia" w:eastAsiaTheme="minorEastAsia" w:cstheme="minorEastAsia"/>
          <w:highlight w:val="none"/>
          <w:u w:val="single"/>
        </w:rPr>
        <w:t xml:space="preserve">是  </w:t>
      </w:r>
      <w:r>
        <w:rPr>
          <w:rFonts w:hint="eastAsia" w:asciiTheme="minorEastAsia" w:hAnsiTheme="minorEastAsia" w:eastAsiaTheme="minorEastAsia" w:cstheme="minorEastAsia"/>
          <w:highlight w:val="none"/>
          <w:u w:val="single"/>
        </w:rPr>
        <w:sym w:font="Wingdings" w:char="00A8"/>
      </w:r>
      <w:r>
        <w:rPr>
          <w:rFonts w:hint="eastAsia" w:asciiTheme="minorEastAsia" w:hAnsiTheme="minorEastAsia" w:eastAsiaTheme="minorEastAsia" w:cstheme="minorEastAsia"/>
          <w:highlight w:val="none"/>
          <w:u w:val="single"/>
        </w:rPr>
        <w:t xml:space="preserve">否   </w:t>
      </w:r>
      <w:r>
        <w:rPr>
          <w:rFonts w:hint="eastAsia" w:asciiTheme="minorEastAsia" w:hAnsiTheme="minorEastAsia" w:eastAsiaTheme="minorEastAsia" w:cstheme="minorEastAsia"/>
          <w:highlight w:val="none"/>
        </w:rPr>
        <w:t>需要支付履约保证金。若需要支付履约保证金的，则：</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1.履约保证金的比例为合同金额的</w:t>
      </w:r>
      <w:r>
        <w:rPr>
          <w:rFonts w:hint="eastAsia" w:asciiTheme="minorEastAsia" w:hAnsiTheme="minorEastAsia" w:eastAsiaTheme="minorEastAsia" w:cstheme="minorEastAsia"/>
          <w:kern w:val="0"/>
          <w:sz w:val="24"/>
          <w:highlight w:val="none"/>
          <w:u w:val="single"/>
        </w:rPr>
        <w:t>5</w:t>
      </w:r>
      <w:r>
        <w:rPr>
          <w:rFonts w:hint="eastAsia" w:asciiTheme="minorEastAsia" w:hAnsiTheme="minorEastAsia" w:eastAsiaTheme="minorEastAsia" w:cstheme="minorEastAsia"/>
          <w:kern w:val="0"/>
          <w:sz w:val="24"/>
          <w:highlight w:val="none"/>
        </w:rPr>
        <w:t>%，金额为元；</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2.履约保证金支付时间：乙方应于本合同签订前按采购文件和本合同约定的支付履约保证金；</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3.履约保证金支付方式：</w:t>
      </w:r>
      <w:r>
        <w:rPr>
          <w:rFonts w:hint="eastAsia" w:asciiTheme="minorEastAsia" w:hAnsiTheme="minorEastAsia" w:eastAsiaTheme="minorEastAsia" w:cstheme="minorEastAsia"/>
          <w:kern w:val="0"/>
          <w:sz w:val="24"/>
          <w:highlight w:val="none"/>
          <w:u w:val="single"/>
        </w:rPr>
        <w:t xml:space="preserve"> 电汇/转账 ；</w:t>
      </w:r>
      <w:r>
        <w:rPr>
          <w:rFonts w:hint="eastAsia" w:asciiTheme="minorEastAsia" w:hAnsiTheme="minorEastAsia" w:eastAsiaTheme="minorEastAsia" w:cstheme="minorEastAsia"/>
          <w:kern w:val="0"/>
          <w:sz w:val="24"/>
          <w:highlight w:val="none"/>
        </w:rPr>
        <w:t>账户信息如下：</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u w:val="single"/>
        </w:rPr>
      </w:pPr>
      <w:r>
        <w:rPr>
          <w:rFonts w:hint="eastAsia" w:asciiTheme="minorEastAsia" w:hAnsiTheme="minorEastAsia" w:eastAsiaTheme="minorEastAsia" w:cstheme="minorEastAsia"/>
          <w:kern w:val="0"/>
          <w:sz w:val="24"/>
          <w:highlight w:val="none"/>
          <w:u w:val="single"/>
        </w:rPr>
        <w:t xml:space="preserve">名称：杭州临江环境能源有限公司   </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u w:val="single"/>
        </w:rPr>
      </w:pPr>
      <w:r>
        <w:rPr>
          <w:rFonts w:hint="eastAsia" w:asciiTheme="minorEastAsia" w:hAnsiTheme="minorEastAsia" w:eastAsiaTheme="minorEastAsia" w:cstheme="minorEastAsia"/>
          <w:kern w:val="0"/>
          <w:sz w:val="24"/>
          <w:highlight w:val="none"/>
          <w:u w:val="single"/>
        </w:rPr>
        <w:t>税号：91330100MA2B02NX2L</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u w:val="single"/>
        </w:rPr>
      </w:pPr>
      <w:r>
        <w:rPr>
          <w:rFonts w:hint="eastAsia" w:asciiTheme="minorEastAsia" w:hAnsiTheme="minorEastAsia" w:eastAsiaTheme="minorEastAsia" w:cstheme="minorEastAsia"/>
          <w:kern w:val="0"/>
          <w:sz w:val="24"/>
          <w:highlight w:val="none"/>
          <w:u w:val="single"/>
        </w:rPr>
        <w:t>地址电话：浙江省杭州市钱塘区临江街道红十五路10388-123号 0571-81997919</w:t>
      </w:r>
    </w:p>
    <w:p>
      <w:pPr>
        <w:adjustRightInd w:val="0"/>
        <w:snapToGrid w:val="0"/>
        <w:spacing w:line="360" w:lineRule="auto"/>
        <w:ind w:firstLine="472" w:firstLineChars="200"/>
        <w:outlineLvl w:val="0"/>
        <w:rPr>
          <w:rFonts w:asciiTheme="minorEastAsia" w:hAnsiTheme="minorEastAsia" w:eastAsiaTheme="minorEastAsia" w:cstheme="minorEastAsia"/>
          <w:kern w:val="0"/>
          <w:sz w:val="24"/>
          <w:highlight w:val="none"/>
          <w:u w:val="single"/>
        </w:rPr>
      </w:pPr>
      <w:r>
        <w:rPr>
          <w:rFonts w:hint="eastAsia" w:asciiTheme="minorEastAsia" w:hAnsiTheme="minorEastAsia" w:eastAsiaTheme="minorEastAsia" w:cstheme="minorEastAsia"/>
          <w:kern w:val="0"/>
          <w:sz w:val="24"/>
          <w:highlight w:val="none"/>
          <w:u w:val="single"/>
        </w:rPr>
        <w:t>开户行及账号：杭州银行大江东支行 3301040160008775754</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5.甲方在履约结束后及时退还履约保证金。甲方在项目通过验收之日起 30个工作日内将履约保证金无息退还乙方。</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6.乙方提前完成合同约定内容且无任何遗留问题，双方可提前终止合同（按第二章合同一般条款中的合同中止、终止条款执行），甲方应在终止合同之后提前无息退还乙方履约保证金。</w:t>
      </w:r>
    </w:p>
    <w:p>
      <w:pPr>
        <w:adjustRightInd w:val="0"/>
        <w:snapToGrid w:val="0"/>
        <w:spacing w:line="360" w:lineRule="auto"/>
        <w:ind w:firstLine="472" w:firstLineChars="200"/>
        <w:outlineLvl w:val="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7.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单方面直接解除合同并罚没全部保证金（或要求乙方承担相当于合同暂定总价的5%的违约金）。</w:t>
      </w:r>
    </w:p>
    <w:bookmarkEnd w:id="138"/>
    <w:bookmarkEnd w:id="139"/>
    <w:bookmarkEnd w:id="140"/>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八、预付款</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甲方</w:t>
      </w:r>
      <w:r>
        <w:rPr>
          <w:rFonts w:hint="eastAsia" w:asciiTheme="minorEastAsia" w:hAnsiTheme="minorEastAsia" w:eastAsiaTheme="minorEastAsia" w:cstheme="minorEastAsia"/>
          <w:highlight w:val="none"/>
          <w:u w:val="single"/>
        </w:rPr>
        <w:sym w:font="Wingdings" w:char="00A8"/>
      </w:r>
      <w:r>
        <w:rPr>
          <w:rFonts w:hint="eastAsia" w:asciiTheme="minorEastAsia" w:hAnsiTheme="minorEastAsia" w:eastAsiaTheme="minorEastAsia" w:cstheme="minorEastAsia"/>
          <w:highlight w:val="none"/>
          <w:u w:val="single"/>
        </w:rPr>
        <w:t xml:space="preserve">是   </w:t>
      </w:r>
      <w:r>
        <w:rPr>
          <w:rFonts w:hint="eastAsia" w:asciiTheme="minorEastAsia" w:hAnsiTheme="minorEastAsia" w:eastAsiaTheme="minorEastAsia" w:cstheme="minorEastAsia"/>
          <w:highlight w:val="none"/>
          <w:u w:val="single"/>
        </w:rPr>
        <w:sym w:font="Wingdings" w:char="00FE"/>
      </w:r>
      <w:r>
        <w:rPr>
          <w:rFonts w:hint="eastAsia" w:asciiTheme="minorEastAsia" w:hAnsiTheme="minorEastAsia" w:eastAsiaTheme="minorEastAsia" w:cstheme="minorEastAsia"/>
          <w:highlight w:val="none"/>
          <w:u w:val="single"/>
        </w:rPr>
        <w:t xml:space="preserve">否  </w:t>
      </w:r>
      <w:r>
        <w:rPr>
          <w:rFonts w:hint="eastAsia" w:asciiTheme="minorEastAsia" w:hAnsiTheme="minorEastAsia" w:eastAsiaTheme="minorEastAsia" w:cstheme="minorEastAsia"/>
          <w:highlight w:val="none"/>
        </w:rPr>
        <w:t>需要支付预付款。若需要支付预付款的，则：</w:t>
      </w:r>
    </w:p>
    <w:p>
      <w:pPr>
        <w:adjustRightInd w:val="0"/>
        <w:snapToGrid w:val="0"/>
        <w:spacing w:line="360" w:lineRule="auto"/>
        <w:ind w:firstLine="472"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1.预付款比例、支付方式、时间：</w:t>
      </w:r>
      <w:r>
        <w:rPr>
          <w:rFonts w:hint="eastAsia" w:asciiTheme="minorEastAsia" w:hAnsiTheme="minorEastAsia" w:eastAsiaTheme="minorEastAsia" w:cstheme="minorEastAsia"/>
          <w:kern w:val="0"/>
          <w:sz w:val="24"/>
          <w:highlight w:val="none"/>
          <w:u w:val="single"/>
        </w:rPr>
        <w:t xml:space="preserve">    /     </w:t>
      </w:r>
      <w:r>
        <w:rPr>
          <w:rFonts w:hint="eastAsia" w:asciiTheme="minorEastAsia" w:hAnsiTheme="minorEastAsia" w:eastAsiaTheme="minorEastAsia" w:cstheme="minorEastAsia"/>
          <w:kern w:val="0"/>
          <w:sz w:val="24"/>
          <w:highlight w:val="none"/>
        </w:rPr>
        <w:t>；</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2.预付款的扣回方式：</w:t>
      </w:r>
      <w:r>
        <w:rPr>
          <w:rFonts w:hint="eastAsia" w:asciiTheme="minorEastAsia" w:hAnsiTheme="minorEastAsia" w:eastAsiaTheme="minorEastAsia" w:cstheme="minorEastAsia"/>
          <w:highlight w:val="none"/>
          <w:u w:val="single"/>
        </w:rPr>
        <w:t xml:space="preserve">     /      </w:t>
      </w:r>
      <w:r>
        <w:rPr>
          <w:rFonts w:hint="eastAsia" w:asciiTheme="minorEastAsia" w:hAnsiTheme="minorEastAsia" w:eastAsiaTheme="minorEastAsia" w:cstheme="minorEastAsia"/>
          <w:highlight w:val="none"/>
        </w:rPr>
        <w:t>；</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rPr>
        <w:t>3.预付款的担保措施：</w:t>
      </w:r>
      <w:r>
        <w:rPr>
          <w:rFonts w:hint="eastAsia" w:asciiTheme="minorEastAsia" w:hAnsiTheme="minorEastAsia" w:eastAsiaTheme="minorEastAsia" w:cstheme="minorEastAsia"/>
          <w:highlight w:val="none"/>
          <w:u w:val="single"/>
        </w:rPr>
        <w:t xml:space="preserve">    /   </w:t>
      </w:r>
      <w:r>
        <w:rPr>
          <w:rFonts w:hint="eastAsia" w:asciiTheme="minorEastAsia" w:hAnsiTheme="minorEastAsia" w:eastAsiaTheme="minorEastAsia" w:cstheme="minorEastAsia"/>
          <w:highlight w:val="none"/>
        </w:rPr>
        <w:t>。</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b/>
          <w:bCs/>
          <w:highlight w:val="none"/>
        </w:rPr>
      </w:pPr>
      <w:r>
        <w:rPr>
          <w:rFonts w:hint="eastAsia" w:asciiTheme="minorEastAsia" w:hAnsiTheme="minorEastAsia" w:eastAsiaTheme="minorEastAsia" w:cstheme="minorEastAsia"/>
          <w:b/>
          <w:bCs/>
          <w:highlight w:val="none"/>
        </w:rPr>
        <w:t>九、资金支付</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1.甲方应严格履行合同，及时组织验收，验收合格后及时将合同款支付完毕。对于满足合同约定支付条件的，甲方自收到合格发票后</w:t>
      </w:r>
      <w:r>
        <w:rPr>
          <w:rFonts w:hint="eastAsia" w:asciiTheme="minorEastAsia" w:hAnsiTheme="minorEastAsia" w:eastAsiaTheme="minorEastAsia" w:cstheme="minorEastAsia"/>
          <w:b/>
          <w:bCs/>
          <w:highlight w:val="none"/>
          <w:u w:val="single"/>
        </w:rPr>
        <w:t>30</w:t>
      </w:r>
      <w:r>
        <w:rPr>
          <w:rFonts w:hint="eastAsia" w:asciiTheme="minorEastAsia" w:hAnsiTheme="minorEastAsia" w:eastAsiaTheme="minorEastAsia" w:cstheme="minorEastAsia"/>
          <w:highlight w:val="none"/>
        </w:rPr>
        <w:t>个工作日内将资金支付到合同约定的乙方账户。如乙方提供的发票存在问题，甲方有权延迟付款且不承担任何责任。</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2.本合同 </w:t>
      </w:r>
      <w:r>
        <w:rPr>
          <w:rFonts w:hint="eastAsia" w:asciiTheme="minorEastAsia" w:hAnsiTheme="minorEastAsia" w:eastAsiaTheme="minorEastAsia" w:cstheme="minorEastAsia"/>
          <w:highlight w:val="none"/>
          <w:u w:val="single"/>
        </w:rPr>
        <w:sym w:font="Wingdings" w:char="00A8"/>
      </w:r>
      <w:r>
        <w:rPr>
          <w:rFonts w:hint="eastAsia" w:asciiTheme="minorEastAsia" w:hAnsiTheme="minorEastAsia" w:eastAsiaTheme="minorEastAsia" w:cstheme="minorEastAsia"/>
          <w:highlight w:val="none"/>
          <w:u w:val="single"/>
        </w:rPr>
        <w:t xml:space="preserve">是  </w:t>
      </w:r>
      <w:r>
        <w:rPr>
          <w:rFonts w:hint="eastAsia" w:asciiTheme="minorEastAsia" w:hAnsiTheme="minorEastAsia" w:eastAsiaTheme="minorEastAsia" w:cstheme="minorEastAsia"/>
          <w:highlight w:val="none"/>
          <w:u w:val="single"/>
        </w:rPr>
        <w:sym w:font="Wingdings" w:char="00FE"/>
      </w:r>
      <w:r>
        <w:rPr>
          <w:rFonts w:hint="eastAsia" w:asciiTheme="minorEastAsia" w:hAnsiTheme="minorEastAsia" w:eastAsiaTheme="minorEastAsia" w:cstheme="minorEastAsia"/>
          <w:highlight w:val="none"/>
          <w:u w:val="single"/>
        </w:rPr>
        <w:t xml:space="preserve">否 </w:t>
      </w:r>
      <w:r>
        <w:rPr>
          <w:rFonts w:hint="eastAsia" w:asciiTheme="minorEastAsia" w:hAnsiTheme="minorEastAsia" w:eastAsiaTheme="minorEastAsia" w:cstheme="minorEastAsia"/>
          <w:highlight w:val="none"/>
        </w:rPr>
        <w:t>有质保金。若有质保金的，则：</w:t>
      </w:r>
    </w:p>
    <w:p>
      <w:pPr>
        <w:adjustRightInd w:val="0"/>
        <w:snapToGrid w:val="0"/>
        <w:spacing w:line="360" w:lineRule="auto"/>
        <w:ind w:firstLine="472"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（1）质保期限：</w:t>
      </w:r>
      <w:r>
        <w:rPr>
          <w:rFonts w:hint="eastAsia" w:asciiTheme="minorEastAsia" w:hAnsiTheme="minorEastAsia" w:eastAsiaTheme="minorEastAsia" w:cstheme="minorEastAsia"/>
          <w:kern w:val="0"/>
          <w:sz w:val="24"/>
          <w:highlight w:val="none"/>
          <w:u w:val="single"/>
        </w:rPr>
        <w:t xml:space="preserve">     /    </w:t>
      </w:r>
      <w:r>
        <w:rPr>
          <w:rFonts w:hint="eastAsia" w:asciiTheme="minorEastAsia" w:hAnsiTheme="minorEastAsia" w:eastAsiaTheme="minorEastAsia" w:cstheme="minorEastAsia"/>
          <w:kern w:val="0"/>
          <w:sz w:val="24"/>
          <w:highlight w:val="none"/>
        </w:rPr>
        <w:t>；</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（2）质保金的比例为合同金额的</w:t>
      </w:r>
      <w:r>
        <w:rPr>
          <w:rFonts w:hint="eastAsia" w:asciiTheme="minorEastAsia" w:hAnsiTheme="minorEastAsia" w:eastAsiaTheme="minorEastAsia" w:cstheme="minorEastAsia"/>
          <w:highlight w:val="none"/>
          <w:u w:val="single"/>
        </w:rPr>
        <w:t xml:space="preserve"> / </w:t>
      </w:r>
      <w:r>
        <w:rPr>
          <w:rFonts w:hint="eastAsia" w:asciiTheme="minorEastAsia" w:hAnsiTheme="minorEastAsia" w:eastAsiaTheme="minorEastAsia" w:cstheme="minorEastAsia"/>
          <w:highlight w:val="none"/>
        </w:rPr>
        <w:t>%；</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（3）质保金支付条件：</w:t>
      </w:r>
      <w:r>
        <w:rPr>
          <w:rFonts w:hint="eastAsia" w:asciiTheme="minorEastAsia" w:hAnsiTheme="minorEastAsia" w:eastAsiaTheme="minorEastAsia" w:cstheme="minorEastAsia"/>
          <w:highlight w:val="none"/>
          <w:u w:val="single"/>
        </w:rPr>
        <w:t>/</w:t>
      </w:r>
      <w:r>
        <w:rPr>
          <w:rFonts w:hint="eastAsia" w:asciiTheme="minorEastAsia" w:hAnsiTheme="minorEastAsia" w:eastAsiaTheme="minorEastAsia" w:cstheme="minorEastAsia"/>
          <w:highlight w:val="none"/>
        </w:rPr>
        <w:t>。</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3.本项目资金支付的方式、时间和条件采用以下第</w:t>
      </w:r>
      <w:r>
        <w:rPr>
          <w:rFonts w:hint="eastAsia" w:asciiTheme="minorEastAsia" w:hAnsiTheme="minorEastAsia" w:eastAsiaTheme="minorEastAsia" w:cstheme="minorEastAsia"/>
          <w:highlight w:val="none"/>
          <w:u w:val="single"/>
        </w:rPr>
        <w:t xml:space="preserve"> （1） </w:t>
      </w:r>
      <w:r>
        <w:rPr>
          <w:rFonts w:hint="eastAsia" w:asciiTheme="minorEastAsia" w:hAnsiTheme="minorEastAsia" w:eastAsiaTheme="minorEastAsia" w:cstheme="minorEastAsia"/>
          <w:highlight w:val="none"/>
        </w:rPr>
        <w:t>条款规定：</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u w:val="single"/>
        </w:rPr>
        <w:t>（1）</w:t>
      </w:r>
      <w:bookmarkStart w:id="149" w:name="OLE_LINK5"/>
      <w:r>
        <w:rPr>
          <w:rFonts w:hint="eastAsia" w:asciiTheme="minorEastAsia" w:hAnsiTheme="minorEastAsia" w:eastAsiaTheme="minorEastAsia" w:cstheme="minorEastAsia"/>
          <w:highlight w:val="none"/>
          <w:u w:val="single"/>
        </w:rPr>
        <w:t xml:space="preserve"> 按月支付，甲方每月对乙方上月服务质量进行考核，经考核合格的，甲方收到乙方提供的增值税专用发票后，甲方在本合同约定时间内完成支付 </w:t>
      </w:r>
      <w:bookmarkEnd w:id="149"/>
      <w:r>
        <w:rPr>
          <w:rFonts w:hint="eastAsia" w:asciiTheme="minorEastAsia" w:hAnsiTheme="minorEastAsia" w:eastAsiaTheme="minorEastAsia" w:cstheme="minorEastAsia"/>
          <w:highlight w:val="none"/>
          <w:u w:val="single"/>
        </w:rPr>
        <w:t>；经考核不合格的，按本合同约定的考核标准扣除相应费用；考核要求、标准</w:t>
      </w:r>
      <w:r>
        <w:rPr>
          <w:rFonts w:hint="eastAsia" w:asciiTheme="minorEastAsia" w:hAnsiTheme="minorEastAsia" w:eastAsiaTheme="minorEastAsia" w:cstheme="minorEastAsia"/>
          <w:b/>
          <w:bCs/>
          <w:highlight w:val="none"/>
        </w:rPr>
        <w:t>按验收特别约定条款、甲方制度规定（以要求较高者为准）执行，如前述条款/规定无考核要求、标准的，乙方于次月15日前向甲方提供增值税专用发票，</w:t>
      </w:r>
      <w:r>
        <w:rPr>
          <w:rFonts w:hint="eastAsia" w:asciiTheme="minorEastAsia" w:hAnsiTheme="minorEastAsia" w:eastAsiaTheme="minorEastAsia" w:cstheme="minorEastAsia"/>
          <w:highlight w:val="none"/>
          <w:u w:val="single"/>
        </w:rPr>
        <w:t>甲方收到乙方提供的增值税专用发票后，甲方在本合同约定时间内完成支付；</w:t>
      </w:r>
    </w:p>
    <w:p>
      <w:pPr>
        <w:pStyle w:val="55"/>
        <w:adjustRightInd w:val="0"/>
        <w:snapToGrid w:val="0"/>
        <w:spacing w:before="0" w:beforeAutospacing="0" w:after="0" w:afterAutospacing="0" w:line="360" w:lineRule="auto"/>
        <w:ind w:firstLine="480"/>
        <w:rPr>
          <w:rFonts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u w:val="single"/>
        </w:rPr>
        <w:t>（2）按季度支付，甲方每季度对乙方上季度服务质量进行考核，经考核合格的，甲方收到乙方提供的增值税专用发票后，甲方在本合同约定时间内完成支付 ；经考核不合格的，按本合同约定的考核标准扣除相应费用；考核要求、标准</w:t>
      </w:r>
      <w:r>
        <w:rPr>
          <w:rFonts w:hint="eastAsia" w:asciiTheme="minorEastAsia" w:hAnsiTheme="minorEastAsia" w:eastAsiaTheme="minorEastAsia" w:cstheme="minorEastAsia"/>
          <w:b/>
          <w:bCs/>
          <w:highlight w:val="none"/>
        </w:rPr>
        <w:t>按验收特别约定条款、甲方制度规定（以要求较高者为准）执行，如前述条款/规定无考核要求、标准的，乙方于下一季度开始后30日内向甲方提供增值税专用发票，</w:t>
      </w:r>
      <w:r>
        <w:rPr>
          <w:rFonts w:hint="eastAsia" w:asciiTheme="minorEastAsia" w:hAnsiTheme="minorEastAsia" w:eastAsiaTheme="minorEastAsia" w:cstheme="minorEastAsia"/>
          <w:highlight w:val="none"/>
          <w:u w:val="single"/>
        </w:rPr>
        <w:t>甲方收到乙方提供的增值税专用发票后，甲方在本合同约定时间内完成支付；</w:t>
      </w:r>
    </w:p>
    <w:p>
      <w:pPr>
        <w:pStyle w:val="55"/>
        <w:adjustRightInd w:val="0"/>
        <w:snapToGrid w:val="0"/>
        <w:spacing w:before="0" w:beforeAutospacing="0" w:after="0" w:afterAutospacing="0" w:line="360" w:lineRule="auto"/>
        <w:ind w:firstLine="472"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u w:val="single"/>
        </w:rPr>
        <w:t>（3）一次性付款，经甲方验收合格后，甲方收到乙方提供的增值税专用发票后，甲方在本合同约定时间内完成支付。</w:t>
      </w:r>
    </w:p>
    <w:p>
      <w:pPr>
        <w:pStyle w:val="55"/>
        <w:adjustRightInd w:val="0"/>
        <w:snapToGrid w:val="0"/>
        <w:spacing w:before="0" w:beforeAutospacing="0" w:after="0" w:afterAutospacing="0" w:line="360" w:lineRule="auto"/>
        <w:ind w:firstLine="472"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w:t>
      </w:r>
      <w:r>
        <w:rPr>
          <w:rFonts w:hint="eastAsia" w:asciiTheme="minorEastAsia" w:hAnsiTheme="minorEastAsia" w:eastAsiaTheme="minorEastAsia" w:cstheme="minorEastAsia"/>
          <w:highlight w:val="none"/>
          <w:u w:val="single"/>
        </w:rPr>
        <w:t>其他付款方式： 按次支付费用， 验收合格后，乙方提供准确清单以及合格的增值税发票后，甲方于30日内完成该次费用支付。</w:t>
      </w:r>
    </w:p>
    <w:p>
      <w:pPr>
        <w:adjustRightInd w:val="0"/>
        <w:snapToGrid w:val="0"/>
        <w:spacing w:line="360" w:lineRule="auto"/>
        <w:ind w:firstLine="472" w:firstLineChars="200"/>
        <w:rPr>
          <w:rFonts w:asciiTheme="minorEastAsia" w:hAnsiTheme="minorEastAsia" w:eastAsiaTheme="minorEastAsia" w:cstheme="minorEastAsia"/>
          <w:sz w:val="24"/>
          <w:highlight w:val="none"/>
          <w:u w:val="single"/>
        </w:rPr>
      </w:pPr>
      <w:r>
        <w:rPr>
          <w:rFonts w:hint="eastAsia" w:asciiTheme="minorEastAsia" w:hAnsiTheme="minorEastAsia" w:eastAsiaTheme="minorEastAsia" w:cstheme="minorEastAsia"/>
          <w:b/>
          <w:sz w:val="24"/>
          <w:highlight w:val="none"/>
        </w:rPr>
        <w:t>十、</w:t>
      </w:r>
      <w:bookmarkEnd w:id="141"/>
      <w:bookmarkEnd w:id="142"/>
      <w:bookmarkEnd w:id="143"/>
      <w:bookmarkEnd w:id="144"/>
      <w:bookmarkEnd w:id="145"/>
      <w:bookmarkStart w:id="150" w:name="_Toc8586"/>
      <w:bookmarkStart w:id="151" w:name="_Toc2375"/>
      <w:bookmarkStart w:id="152" w:name="_Toc24662"/>
      <w:bookmarkStart w:id="153" w:name="_Toc5698"/>
      <w:bookmarkStart w:id="154" w:name="_Toc3079"/>
      <w:r>
        <w:rPr>
          <w:rFonts w:hint="eastAsia" w:asciiTheme="minorEastAsia" w:hAnsiTheme="minorEastAsia" w:eastAsiaTheme="minorEastAsia" w:cstheme="minorEastAsia"/>
          <w:b/>
          <w:sz w:val="24"/>
          <w:highlight w:val="none"/>
        </w:rPr>
        <w:t>违约责任</w:t>
      </w:r>
      <w:bookmarkEnd w:id="150"/>
      <w:bookmarkEnd w:id="151"/>
      <w:bookmarkEnd w:id="152"/>
      <w:bookmarkEnd w:id="153"/>
      <w:bookmarkEnd w:id="154"/>
    </w:p>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1.除不可抗力外，如果乙方无故没有按照本合同约定的期限、地点和方式交付服务成果或者实施服务，那么甲方可要求乙方支付违约金，迟延履行违约金每迟延履行一日按合同未完成部分的总金额的</w:t>
      </w:r>
      <w:r>
        <w:rPr>
          <w:rFonts w:hint="eastAsia" w:asciiTheme="minorEastAsia" w:hAnsiTheme="minorEastAsia" w:eastAsiaTheme="minorEastAsia" w:cstheme="minorEastAsia"/>
          <w:b/>
          <w:bCs/>
          <w:sz w:val="24"/>
          <w:highlight w:val="none"/>
          <w:u w:val="single"/>
        </w:rPr>
        <w:t>0.1</w:t>
      </w:r>
      <w:r>
        <w:rPr>
          <w:rFonts w:hint="eastAsia" w:asciiTheme="minorEastAsia" w:hAnsiTheme="minorEastAsia" w:eastAsiaTheme="minorEastAsia" w:cstheme="minorEastAsia"/>
          <w:b/>
          <w:bCs/>
          <w:sz w:val="24"/>
          <w:highlight w:val="none"/>
        </w:rPr>
        <w:t>%</w:t>
      </w:r>
      <w:r>
        <w:rPr>
          <w:rFonts w:hint="eastAsia" w:asciiTheme="minorEastAsia" w:hAnsiTheme="minorEastAsia" w:eastAsiaTheme="minorEastAsia" w:cstheme="minorEastAsia"/>
          <w:sz w:val="24"/>
          <w:highlight w:val="none"/>
        </w:rPr>
        <w:t>计算，迟延履行达到15天的，甲方有权单方解除本合同，并要求乙方一次性承担（□本合同累计已发生金额/□合同约定总金额/☑合同未完成部分的总金额）30%的违约金。经双方同意延期的情形不在此列。</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具体按以下情形执行：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（1）未中止或解除合同的，违约金甲方有权优先从履约保证金扣除，不足部分从已服务未结算的服务费中扣除；若无履约保证金的，甲方有权直接从已服务未结算的服务费中扣除违约金。</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（2）中止或解除合同的，甲方扣除全额履约保证金，违约金甲方从已服务未结算的服务费中扣除；若无履约保证金的，甲方直接从已服务未结算的服务费中扣除违约金。</w:t>
      </w:r>
    </w:p>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2.除不可抗力外，如果甲方没有按照本合同约定的付款方式付款，那么乙方可要求甲方支付违约金，违约金按每迟延付款一日的应付而未付款的</w:t>
      </w:r>
      <w:r>
        <w:rPr>
          <w:rFonts w:hint="eastAsia" w:asciiTheme="minorEastAsia" w:hAnsiTheme="minorEastAsia" w:eastAsiaTheme="minorEastAsia" w:cstheme="minorEastAsia"/>
          <w:b/>
          <w:bCs/>
          <w:sz w:val="24"/>
          <w:highlight w:val="none"/>
          <w:u w:val="single"/>
        </w:rPr>
        <w:t xml:space="preserve">0.05  </w:t>
      </w:r>
      <w:r>
        <w:rPr>
          <w:rFonts w:hint="eastAsia" w:asciiTheme="minorEastAsia" w:hAnsiTheme="minorEastAsia" w:eastAsiaTheme="minorEastAsia" w:cstheme="minorEastAsia"/>
          <w:sz w:val="24"/>
          <w:highlight w:val="none"/>
        </w:rPr>
        <w:t>%计算，迟延付款达到 30天的，乙方有权在要求甲方支付违约金的同时，书面通知甲方解除本合同；</w:t>
      </w:r>
    </w:p>
    <w:p>
      <w:pPr>
        <w:adjustRightInd w:val="0"/>
        <w:snapToGrid w:val="0"/>
        <w:spacing w:line="360" w:lineRule="auto"/>
        <w:rPr>
          <w:rFonts w:asciiTheme="minorEastAsia" w:hAnsiTheme="minorEastAsia" w:eastAsiaTheme="minorEastAsia" w:cstheme="minorEastAsia"/>
          <w:sz w:val="24"/>
          <w:highlight w:val="none"/>
        </w:rPr>
      </w:pPr>
      <w:bookmarkStart w:id="155" w:name="_Toc30329"/>
      <w:bookmarkStart w:id="156" w:name="_Toc26807"/>
      <w:bookmarkStart w:id="157" w:name="_Toc18683"/>
      <w:bookmarkStart w:id="158" w:name="_Toc9497"/>
      <w:bookmarkStart w:id="159" w:name="_Toc32454"/>
      <w:r>
        <w:rPr>
          <w:rFonts w:hint="eastAsia" w:asciiTheme="minorEastAsia" w:hAnsiTheme="minorEastAsia" w:eastAsiaTheme="minorEastAsia" w:cstheme="minorEastAsia"/>
          <w:sz w:val="24"/>
          <w:highlight w:val="none"/>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pPr>
        <w:pStyle w:val="8"/>
        <w:adjustRightInd w:val="0"/>
        <w:snapToGrid w:val="0"/>
        <w:spacing w:line="360" w:lineRule="auto"/>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w:t>
      </w:r>
      <w:bookmarkEnd w:id="155"/>
      <w:bookmarkEnd w:id="156"/>
      <w:bookmarkEnd w:id="157"/>
      <w:bookmarkEnd w:id="158"/>
      <w:bookmarkEnd w:id="159"/>
      <w:bookmarkStart w:id="160" w:name="_Toc15583"/>
      <w:bookmarkStart w:id="161" w:name="_Toc16021"/>
      <w:bookmarkStart w:id="162" w:name="_Toc28375"/>
      <w:r>
        <w:rPr>
          <w:rFonts w:hint="eastAsia" w:asciiTheme="minorEastAsia" w:hAnsiTheme="minorEastAsia" w:eastAsiaTheme="minorEastAsia" w:cstheme="minorEastAsia"/>
          <w:sz w:val="24"/>
          <w:szCs w:val="24"/>
          <w:highlight w:val="none"/>
        </w:rPr>
        <w:t>在使用乙方提供的服务过程中，因服务质量或乙方其他问题给机械设备造成故障或货物损坏，由乙方承担甲方的一切损失，包括直接和间接损失。</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7..当发生下列情况时为甲方违约：</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（1）甲方不按合同约定支付合同款，导致乙方维护工作无法正常进行。</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（2）甲方不履行合同义务或不按合同约定履行义务的其他情况。</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8.当发生下列情况时为乙方违约：</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（1）不能按照本合同约定按时、保质维护设备。</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（2）服务项目质量达不到本合同的质量标准。</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（3）不能履行维护过程组织设计中安全、文明施工的承诺，不能做到日清日洁等。</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（4）服务项目转让或分包。</w:t>
      </w:r>
    </w:p>
    <w:p>
      <w:pPr>
        <w:adjustRightInd w:val="0"/>
        <w:snapToGrid w:val="0"/>
        <w:spacing w:line="360" w:lineRule="auto"/>
        <w:rPr>
          <w:rFonts w:ascii="宋体" w:hAnsi="宋体" w:eastAsia="宋体" w:cs="宋体"/>
          <w:bCs/>
          <w:sz w:val="24"/>
          <w:highlight w:val="none"/>
        </w:rPr>
      </w:pPr>
      <w:r>
        <w:rPr>
          <w:rFonts w:hint="eastAsia" w:ascii="宋体" w:hAnsi="宋体" w:eastAsia="宋体" w:cs="宋体"/>
          <w:bCs/>
          <w:sz w:val="24"/>
          <w:highlight w:val="none"/>
        </w:rPr>
        <w:t>（5）不履行合同义务或不按合同约定履行义务的其他情况。</w:t>
      </w:r>
    </w:p>
    <w:p>
      <w:pPr>
        <w:topLinePunct/>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9.当甲乙双方任一方未履行合同规定的职责或权限时，违约方应向守约方支付违约金。如造成损失的，还应赔偿守约方的直接经济损失。</w:t>
      </w:r>
    </w:p>
    <w:p>
      <w:pPr>
        <w:topLinePunct/>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10.甲方迟延支付维保费用的，每逾期一日，甲方应从约定应付之日起向乙方支付应付款的千分之一支付违约金。</w:t>
      </w:r>
    </w:p>
    <w:p>
      <w:pPr>
        <w:topLinePunct/>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11.任何一方无法律或合同依据单方解除本合同的，应向对方支付合同约定维保费用30％的违约金。</w:t>
      </w:r>
    </w:p>
    <w:p>
      <w:pPr>
        <w:adjustRightInd w:val="0"/>
        <w:snapToGrid w:val="0"/>
        <w:spacing w:line="360" w:lineRule="auto"/>
        <w:ind w:firstLine="472" w:firstLineChars="200"/>
        <w:rPr>
          <w:rFonts w:ascii="宋体" w:hAnsi="宋体" w:eastAsia="宋体" w:cs="宋体"/>
          <w:b/>
          <w:sz w:val="24"/>
          <w:highlight w:val="none"/>
        </w:rPr>
      </w:pPr>
      <w:r>
        <w:rPr>
          <w:rFonts w:hint="eastAsia" w:ascii="宋体" w:hAnsi="宋体" w:eastAsia="宋体" w:cs="宋体"/>
          <w:b/>
          <w:sz w:val="24"/>
          <w:highlight w:val="none"/>
        </w:rPr>
        <w:t>十一、退出机制</w:t>
      </w:r>
    </w:p>
    <w:p>
      <w:pPr>
        <w:adjustRightInd w:val="0"/>
        <w:snapToGrid w:val="0"/>
        <w:spacing w:line="360" w:lineRule="auto"/>
        <w:ind w:firstLine="472" w:firstLineChars="200"/>
        <w:rPr>
          <w:rFonts w:ascii="宋体" w:hAnsi="宋体" w:eastAsia="宋体" w:cs="宋体"/>
          <w:sz w:val="24"/>
          <w:highlight w:val="none"/>
          <w:lang w:val="zh-CN"/>
        </w:rPr>
      </w:pPr>
      <w:r>
        <w:rPr>
          <w:rFonts w:hint="eastAsia" w:ascii="宋体" w:hAnsi="宋体" w:eastAsia="宋体" w:cs="宋体"/>
          <w:sz w:val="24"/>
          <w:highlight w:val="none"/>
          <w:lang w:val="zh-CN"/>
        </w:rPr>
        <w:t>合同履约服务期间，</w:t>
      </w:r>
      <w:r>
        <w:rPr>
          <w:rFonts w:hint="eastAsia" w:ascii="宋体" w:hAnsi="宋体" w:eastAsia="宋体" w:cs="宋体"/>
          <w:sz w:val="24"/>
          <w:highlight w:val="none"/>
        </w:rPr>
        <w:t>乙方</w:t>
      </w:r>
      <w:r>
        <w:rPr>
          <w:rFonts w:hint="eastAsia" w:ascii="宋体" w:hAnsi="宋体" w:eastAsia="宋体" w:cs="宋体"/>
          <w:sz w:val="24"/>
          <w:highlight w:val="none"/>
          <w:lang w:val="zh-CN"/>
        </w:rPr>
        <w:t>出现以下情形之一的，</w:t>
      </w:r>
      <w:r>
        <w:rPr>
          <w:rFonts w:hint="eastAsia" w:ascii="宋体" w:hAnsi="宋体" w:eastAsia="宋体" w:cs="宋体"/>
          <w:sz w:val="24"/>
          <w:highlight w:val="none"/>
        </w:rPr>
        <w:t>甲方</w:t>
      </w:r>
      <w:r>
        <w:rPr>
          <w:rFonts w:hint="eastAsia" w:ascii="宋体" w:hAnsi="宋体" w:eastAsia="宋体" w:cs="宋体"/>
          <w:sz w:val="24"/>
          <w:highlight w:val="none"/>
          <w:lang w:val="zh-CN"/>
        </w:rPr>
        <w:t>有权无条件终止合同，同时按照安全协议条款扣除</w:t>
      </w:r>
      <w:r>
        <w:rPr>
          <w:rFonts w:hint="eastAsia" w:ascii="宋体" w:hAnsi="宋体" w:eastAsia="宋体" w:cs="宋体"/>
          <w:sz w:val="24"/>
          <w:highlight w:val="none"/>
        </w:rPr>
        <w:t>相应金额的</w:t>
      </w:r>
      <w:r>
        <w:rPr>
          <w:rFonts w:hint="eastAsia" w:ascii="宋体" w:hAnsi="宋体" w:eastAsia="宋体" w:cs="宋体"/>
          <w:sz w:val="24"/>
          <w:highlight w:val="none"/>
          <w:lang w:val="zh-CN"/>
        </w:rPr>
        <w:t>履约保证金（履约保证金不足的部分</w:t>
      </w:r>
      <w:r>
        <w:rPr>
          <w:rFonts w:hint="eastAsia" w:ascii="宋体" w:hAnsi="宋体" w:eastAsia="宋体" w:cs="宋体"/>
          <w:sz w:val="24"/>
          <w:highlight w:val="none"/>
        </w:rPr>
        <w:t>乙方</w:t>
      </w:r>
      <w:r>
        <w:rPr>
          <w:rFonts w:hint="eastAsia" w:ascii="宋体" w:hAnsi="宋体" w:eastAsia="宋体" w:cs="宋体"/>
          <w:sz w:val="24"/>
          <w:highlight w:val="none"/>
          <w:lang w:val="zh-CN"/>
        </w:rPr>
        <w:t>补缴或者扣除未支付的维保服务费）。终止合同之前，</w:t>
      </w:r>
      <w:r>
        <w:rPr>
          <w:rFonts w:hint="eastAsia" w:ascii="宋体" w:hAnsi="宋体" w:eastAsia="宋体" w:cs="宋体"/>
          <w:sz w:val="24"/>
          <w:highlight w:val="none"/>
        </w:rPr>
        <w:t>乙方</w:t>
      </w:r>
      <w:r>
        <w:rPr>
          <w:rFonts w:hint="eastAsia" w:ascii="宋体" w:hAnsi="宋体" w:eastAsia="宋体" w:cs="宋体"/>
          <w:sz w:val="24"/>
          <w:highlight w:val="none"/>
          <w:lang w:val="zh-CN"/>
        </w:rPr>
        <w:t>有义务继续履行合同维保服务，直至</w:t>
      </w:r>
      <w:r>
        <w:rPr>
          <w:rFonts w:hint="eastAsia" w:ascii="宋体" w:hAnsi="宋体" w:eastAsia="宋体" w:cs="宋体"/>
          <w:sz w:val="24"/>
          <w:highlight w:val="none"/>
        </w:rPr>
        <w:t>甲方</w:t>
      </w:r>
      <w:r>
        <w:rPr>
          <w:rFonts w:hint="eastAsia" w:ascii="宋体" w:hAnsi="宋体" w:eastAsia="宋体" w:cs="宋体"/>
          <w:sz w:val="24"/>
          <w:highlight w:val="none"/>
          <w:lang w:val="zh-CN"/>
        </w:rPr>
        <w:t>重新完成招标</w:t>
      </w:r>
      <w:r>
        <w:rPr>
          <w:rFonts w:hint="eastAsia" w:ascii="宋体" w:hAnsi="宋体" w:eastAsia="宋体" w:cs="宋体"/>
          <w:sz w:val="24"/>
          <w:highlight w:val="none"/>
        </w:rPr>
        <w:t>并首次服务供上之日止</w:t>
      </w:r>
      <w:r>
        <w:rPr>
          <w:rFonts w:hint="eastAsia" w:ascii="宋体" w:hAnsi="宋体" w:eastAsia="宋体" w:cs="宋体"/>
          <w:sz w:val="24"/>
          <w:highlight w:val="none"/>
          <w:lang w:val="zh-CN"/>
        </w:rPr>
        <w:t xml:space="preserve">： </w:t>
      </w:r>
    </w:p>
    <w:p>
      <w:pPr>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 xml:space="preserve">（1）未经甲方同意，擅自转让、分包本项目的； </w:t>
      </w:r>
    </w:p>
    <w:p>
      <w:pPr>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（2）乙方维保服务不能连续开展达3天以上的；</w:t>
      </w:r>
    </w:p>
    <w:p>
      <w:pPr>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 xml:space="preserve">（3）乙方发生一人及以上死亡安全事故的； </w:t>
      </w:r>
    </w:p>
    <w:p>
      <w:pPr>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（4）乙方存在其他违反合同约定的行为且经甲方催告后合理期限内仍未整改完毕的；</w:t>
      </w:r>
    </w:p>
    <w:p>
      <w:pPr>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（5）合同约定期满或者提前终止合同的；</w:t>
      </w:r>
    </w:p>
    <w:p>
      <w:pPr>
        <w:adjustRightInd w:val="0"/>
        <w:snapToGrid w:val="0"/>
        <w:spacing w:line="360" w:lineRule="auto"/>
        <w:rPr>
          <w:rFonts w:ascii="宋体" w:hAnsi="宋体" w:eastAsia="宋体" w:cs="宋体"/>
          <w:sz w:val="24"/>
          <w:highlight w:val="none"/>
        </w:rPr>
      </w:pPr>
      <w:r>
        <w:rPr>
          <w:rFonts w:hint="eastAsia" w:ascii="宋体" w:hAnsi="宋体" w:eastAsia="宋体" w:cs="宋体"/>
          <w:sz w:val="24"/>
          <w:highlight w:val="none"/>
        </w:rPr>
        <w:t>（6）因乙方原因而影响锅炉出力超过12小时或缺陷消除不及时造成重大运行方式改变超过8小时或事故扩大引起甲方任何一台炉非计划停炉的；</w:t>
      </w:r>
    </w:p>
    <w:p>
      <w:pPr>
        <w:adjustRightInd w:val="0"/>
        <w:snapToGrid w:val="0"/>
        <w:spacing w:line="360" w:lineRule="auto"/>
        <w:rPr>
          <w:rFonts w:ascii="宋体" w:hAnsi="宋体" w:eastAsia="宋体" w:cs="宋体"/>
          <w:b/>
          <w:sz w:val="24"/>
          <w:highlight w:val="none"/>
        </w:rPr>
      </w:pPr>
      <w:r>
        <w:rPr>
          <w:rFonts w:hint="eastAsia" w:ascii="宋体" w:hAnsi="宋体" w:eastAsia="宋体" w:cs="宋体"/>
          <w:sz w:val="24"/>
          <w:highlight w:val="none"/>
        </w:rPr>
        <w:t>（7）</w:t>
      </w:r>
      <w:r>
        <w:rPr>
          <w:rFonts w:hint="eastAsia" w:ascii="宋体" w:hAnsi="宋体" w:eastAsia="宋体" w:cs="宋体"/>
          <w:sz w:val="24"/>
          <w:highlight w:val="none"/>
          <w:lang w:val="zh-CN"/>
        </w:rPr>
        <w:t>法律法规和政策规定的其他情形。</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十二、合同争议的解决</w:t>
      </w:r>
      <w:bookmarkEnd w:id="160"/>
      <w:bookmarkEnd w:id="161"/>
      <w:bookmarkEnd w:id="162"/>
    </w:p>
    <w:p>
      <w:pPr>
        <w:adjustRightInd w:val="0"/>
        <w:snapToGrid w:val="0"/>
        <w:spacing w:line="360" w:lineRule="auto"/>
        <w:ind w:left="-91" w:leftChars="-29" w:right="-632" w:rightChars="-200" w:firstLine="236" w:firstLineChars="1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本合同履行过程中发生的任何争议，双方当事人均可通过和解或者调解解决；不愿和解、调解或者和解、调解不成的，可以选择以下第</w:t>
      </w:r>
      <w:r>
        <w:rPr>
          <w:rFonts w:hint="eastAsia" w:asciiTheme="minorEastAsia" w:hAnsiTheme="minorEastAsia" w:eastAsiaTheme="minorEastAsia" w:cstheme="minorEastAsia"/>
          <w:b/>
          <w:iCs/>
          <w:sz w:val="24"/>
          <w:highlight w:val="none"/>
          <w:u w:val="single"/>
        </w:rPr>
        <w:t xml:space="preserve"> 2 </w:t>
      </w:r>
      <w:r>
        <w:rPr>
          <w:rFonts w:hint="eastAsia" w:asciiTheme="minorEastAsia" w:hAnsiTheme="minorEastAsia" w:eastAsiaTheme="minorEastAsia" w:cstheme="minorEastAsia"/>
          <w:sz w:val="24"/>
          <w:highlight w:val="none"/>
        </w:rPr>
        <w:t>条款规定的方式解决：</w:t>
      </w:r>
    </w:p>
    <w:p>
      <w:pPr>
        <w:adjustRightInd w:val="0"/>
        <w:snapToGrid w:val="0"/>
        <w:spacing w:line="360" w:lineRule="auto"/>
        <w:ind w:right="-632" w:rightChars="-200"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1.将争议提交</w:t>
      </w:r>
      <w:r>
        <w:rPr>
          <w:rFonts w:hint="eastAsia" w:asciiTheme="minorEastAsia" w:hAnsiTheme="minorEastAsia" w:eastAsiaTheme="minorEastAsia" w:cstheme="minorEastAsia"/>
          <w:b/>
          <w:iCs/>
          <w:sz w:val="24"/>
          <w:highlight w:val="none"/>
          <w:u w:val="single"/>
        </w:rPr>
        <w:t>甲方所在地</w:t>
      </w:r>
      <w:r>
        <w:rPr>
          <w:rFonts w:hint="eastAsia" w:asciiTheme="minorEastAsia" w:hAnsiTheme="minorEastAsia" w:eastAsiaTheme="minorEastAsia" w:cstheme="minorEastAsia"/>
          <w:iCs/>
          <w:sz w:val="24"/>
          <w:highlight w:val="none"/>
        </w:rPr>
        <w:t>仲</w:t>
      </w:r>
      <w:r>
        <w:rPr>
          <w:rFonts w:hint="eastAsia" w:asciiTheme="minorEastAsia" w:hAnsiTheme="minorEastAsia" w:eastAsiaTheme="minorEastAsia" w:cstheme="minorEastAsia"/>
          <w:sz w:val="24"/>
          <w:highlight w:val="none"/>
        </w:rPr>
        <w:t>裁委员会依申请仲裁时其现行有效的仲裁规则裁决；</w:t>
      </w:r>
    </w:p>
    <w:p>
      <w:pPr>
        <w:adjustRightInd w:val="0"/>
        <w:snapToGrid w:val="0"/>
        <w:spacing w:line="360" w:lineRule="auto"/>
        <w:ind w:right="-632" w:rightChars="-200"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w:t>
      </w:r>
      <w:r>
        <w:rPr>
          <w:rFonts w:hint="eastAsia" w:asciiTheme="minorEastAsia" w:hAnsiTheme="minorEastAsia" w:eastAsiaTheme="minorEastAsia" w:cstheme="minorEastAsia"/>
          <w:b/>
          <w:iCs/>
          <w:sz w:val="24"/>
          <w:highlight w:val="none"/>
          <w:u w:val="single"/>
        </w:rPr>
        <w:t>甲方所在地人</w:t>
      </w:r>
      <w:r>
        <w:rPr>
          <w:rFonts w:hint="eastAsia" w:asciiTheme="minorEastAsia" w:hAnsiTheme="minorEastAsia" w:eastAsiaTheme="minorEastAsia" w:cstheme="minorEastAsia"/>
          <w:sz w:val="24"/>
          <w:highlight w:val="none"/>
        </w:rPr>
        <w:t>民法院起诉。</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63" w:name="_Toc15322"/>
      <w:bookmarkStart w:id="164" w:name="_Toc11173"/>
      <w:bookmarkStart w:id="165" w:name="_Toc7245"/>
      <w:r>
        <w:rPr>
          <w:rFonts w:hint="eastAsia" w:asciiTheme="minorEastAsia" w:hAnsiTheme="minorEastAsia" w:eastAsiaTheme="minorEastAsia" w:cstheme="minorEastAsia"/>
          <w:b/>
          <w:sz w:val="24"/>
          <w:highlight w:val="none"/>
        </w:rPr>
        <w:t>十三、合同生效</w:t>
      </w:r>
      <w:bookmarkEnd w:id="163"/>
      <w:bookmarkEnd w:id="164"/>
      <w:bookmarkEnd w:id="165"/>
    </w:p>
    <w:p>
      <w:pPr>
        <w:pStyle w:val="54"/>
        <w:ind w:left="0" w:leftChars="0" w:firstLine="472"/>
        <w:jc w:val="left"/>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本合同自双方盖章、签字时生效。合同份数按</w:t>
      </w:r>
      <w:r>
        <w:rPr>
          <w:rFonts w:hint="eastAsia" w:asciiTheme="minorEastAsia" w:hAnsiTheme="minorEastAsia" w:eastAsiaTheme="minorEastAsia" w:cstheme="minorEastAsia"/>
          <w:b/>
          <w:bCs/>
          <w:szCs w:val="24"/>
          <w:highlight w:val="none"/>
          <w:u w:val="single"/>
        </w:rPr>
        <w:t>一式四份</w:t>
      </w:r>
      <w:r>
        <w:rPr>
          <w:rFonts w:hint="eastAsia" w:asciiTheme="minorEastAsia" w:hAnsiTheme="minorEastAsia" w:eastAsiaTheme="minorEastAsia" w:cstheme="minorEastAsia"/>
          <w:szCs w:val="24"/>
          <w:highlight w:val="none"/>
        </w:rPr>
        <w:t>规定，甲方三份，乙方一份，</w:t>
      </w:r>
      <w:r>
        <w:rPr>
          <w:rFonts w:hint="eastAsia" w:asciiTheme="minorEastAsia" w:hAnsiTheme="minorEastAsia" w:eastAsiaTheme="minorEastAsia" w:cstheme="minorEastAsia"/>
          <w:bCs/>
          <w:szCs w:val="24"/>
          <w:highlight w:val="none"/>
        </w:rPr>
        <w:t>第二章合同一般条款</w:t>
      </w:r>
      <w:r>
        <w:rPr>
          <w:rFonts w:hint="eastAsia" w:asciiTheme="minorEastAsia" w:hAnsiTheme="minorEastAsia" w:eastAsiaTheme="minorEastAsia" w:cstheme="minorEastAsia"/>
          <w:szCs w:val="24"/>
          <w:highlight w:val="none"/>
        </w:rPr>
        <w:t>、第三章安全协议、第四章廉洁协议为本合同不可分割的一部分，均具有同等法律效力。</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p>
    <w:p>
      <w:pPr>
        <w:pStyle w:val="54"/>
        <w:ind w:left="0" w:leftChars="0" w:firstLine="0" w:firstLineChars="0"/>
        <w:jc w:val="center"/>
        <w:rPr>
          <w:rFonts w:asciiTheme="minorEastAsia" w:hAnsiTheme="minorEastAsia" w:eastAsiaTheme="minorEastAsia" w:cstheme="minorEastAsia"/>
          <w:b/>
          <w:szCs w:val="24"/>
          <w:highlight w:val="none"/>
        </w:rPr>
      </w:pPr>
    </w:p>
    <w:p>
      <w:pPr>
        <w:pStyle w:val="54"/>
        <w:ind w:left="0" w:leftChars="0" w:firstLine="0" w:firstLineChars="0"/>
        <w:jc w:val="center"/>
        <w:rPr>
          <w:rFonts w:asciiTheme="minorEastAsia" w:hAnsiTheme="minorEastAsia" w:eastAsiaTheme="minorEastAsia" w:cstheme="minorEastAsia"/>
          <w:b/>
          <w:szCs w:val="24"/>
          <w:highlight w:val="none"/>
        </w:rPr>
      </w:pPr>
      <w:r>
        <w:rPr>
          <w:rFonts w:hint="eastAsia" w:asciiTheme="minorEastAsia" w:hAnsiTheme="minorEastAsia" w:eastAsiaTheme="minorEastAsia" w:cstheme="minorEastAsia"/>
          <w:b/>
          <w:szCs w:val="24"/>
          <w:highlight w:val="none"/>
        </w:rPr>
        <w:t>第二章 合同一般条款</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66" w:name="_Toc31297"/>
      <w:bookmarkStart w:id="167" w:name="_Toc5228"/>
      <w:bookmarkStart w:id="168" w:name="_Toc25079"/>
      <w:bookmarkStart w:id="169" w:name="_Toc19680"/>
      <w:bookmarkStart w:id="170" w:name="_Toc14021"/>
      <w:r>
        <w:rPr>
          <w:rFonts w:hint="eastAsia" w:asciiTheme="minorEastAsia" w:hAnsiTheme="minorEastAsia" w:eastAsiaTheme="minorEastAsia" w:cstheme="minorEastAsia"/>
          <w:b/>
          <w:sz w:val="24"/>
          <w:highlight w:val="none"/>
        </w:rPr>
        <w:t>一、定义</w:t>
      </w:r>
      <w:bookmarkEnd w:id="166"/>
      <w:bookmarkEnd w:id="167"/>
      <w:bookmarkEnd w:id="168"/>
      <w:bookmarkEnd w:id="169"/>
      <w:bookmarkEnd w:id="170"/>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本合同中的下列词语应按以下内容进行解释：</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1.“合同”系指采购人和中标或成交供应商签订的载明双方当事人所达成的协议，并包括所有的附件、附录和构成合同的其他文件。</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2.“合同价”系指根据合同约定，中标或成交供应商在完全履行合同义务后，采购人应支付给中标或成交供应商的价格。</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3.“服务”系指中标或成交供应商根据合同约定应向采购人履行的服务。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4.“甲方”系指与中标或成交供应商签署合同的采购人；采购人委托采购代理机构代表其与乙方签订合同的，采购人的授权委托书作为合同附件。</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 “乙方”系指根据合同约定提供服务的中标或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6.“现场”系指合同约定提供服务的地点。</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71" w:name="_Toc19539"/>
      <w:bookmarkStart w:id="172" w:name="_Toc23289"/>
      <w:bookmarkStart w:id="173" w:name="_Toc3769"/>
      <w:bookmarkStart w:id="174" w:name="_Toc31402"/>
      <w:bookmarkStart w:id="175" w:name="_Toc16752"/>
      <w:r>
        <w:rPr>
          <w:rFonts w:hint="eastAsia" w:asciiTheme="minorEastAsia" w:hAnsiTheme="minorEastAsia" w:eastAsiaTheme="minorEastAsia" w:cstheme="minorEastAsia"/>
          <w:b/>
          <w:sz w:val="24"/>
          <w:highlight w:val="none"/>
        </w:rPr>
        <w:t>二、 技术规范</w:t>
      </w:r>
      <w:bookmarkEnd w:id="171"/>
      <w:bookmarkEnd w:id="172"/>
      <w:bookmarkEnd w:id="173"/>
      <w:bookmarkEnd w:id="174"/>
      <w:bookmarkEnd w:id="175"/>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服务所应遵守的技术规范应与采购文件规定的技术规范和技术规范附件（</w:t>
      </w:r>
      <w:r>
        <w:rPr>
          <w:rFonts w:hint="eastAsia" w:asciiTheme="minorEastAsia" w:hAnsiTheme="minorEastAsia" w:eastAsiaTheme="minorEastAsia" w:cstheme="minorEastAsia"/>
          <w:b/>
          <w:bCs/>
          <w:sz w:val="24"/>
          <w:highlight w:val="none"/>
          <w:u w:val="single"/>
        </w:rPr>
        <w:t>如果有的话）</w:t>
      </w:r>
      <w:r>
        <w:rPr>
          <w:rFonts w:hint="eastAsia" w:asciiTheme="minorEastAsia" w:hAnsiTheme="minorEastAsia" w:eastAsiaTheme="minorEastAsia" w:cstheme="minorEastAsia"/>
          <w:sz w:val="24"/>
          <w:highlight w:val="none"/>
        </w:rPr>
        <w:t>及其技术规范偏差表（</w:t>
      </w:r>
      <w:r>
        <w:rPr>
          <w:rFonts w:hint="eastAsia" w:asciiTheme="minorEastAsia" w:hAnsiTheme="minorEastAsia" w:eastAsiaTheme="minorEastAsia" w:cstheme="minorEastAsia"/>
          <w:b/>
          <w:bCs/>
          <w:sz w:val="24"/>
          <w:highlight w:val="none"/>
          <w:u w:val="single"/>
        </w:rPr>
        <w:t>如果被甲方接受的话）</w:t>
      </w:r>
      <w:r>
        <w:rPr>
          <w:rFonts w:hint="eastAsia" w:asciiTheme="minorEastAsia" w:hAnsiTheme="minorEastAsia" w:eastAsiaTheme="minorEastAsia" w:cstheme="minorEastAsia"/>
          <w:sz w:val="24"/>
          <w:highlight w:val="none"/>
        </w:rPr>
        <w:t>相一致；如果采购文件中没有技术规范的相应说明，那么应以国家有关部门最新颁布的相应标准和规范为准。</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76" w:name="_Toc4133"/>
      <w:bookmarkStart w:id="177" w:name="_Toc27945"/>
      <w:bookmarkStart w:id="178" w:name="_Toc9161"/>
      <w:bookmarkStart w:id="179" w:name="_Toc12412"/>
      <w:bookmarkStart w:id="180" w:name="_Toc13673"/>
      <w:r>
        <w:rPr>
          <w:rFonts w:hint="eastAsia" w:asciiTheme="minorEastAsia" w:hAnsiTheme="minorEastAsia" w:eastAsiaTheme="minorEastAsia" w:cstheme="minorEastAsia"/>
          <w:b/>
          <w:sz w:val="24"/>
          <w:highlight w:val="none"/>
        </w:rPr>
        <w:t>三、 知识产权</w:t>
      </w:r>
      <w:bookmarkEnd w:id="176"/>
      <w:bookmarkEnd w:id="177"/>
      <w:bookmarkEnd w:id="178"/>
      <w:bookmarkEnd w:id="179"/>
      <w:bookmarkEnd w:id="180"/>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 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合同涉及技术成果的归属和收益的分成办法的，双方另行商定签订协议。如双方未另行签订书面协议的，乙方为履行本合同下义务所形成的各项成果文件之所有权、知识产权均归属于甲方所有，且甲方有权自行或委托第三方进行修改。</w:t>
      </w:r>
    </w:p>
    <w:p>
      <w:pPr>
        <w:adjustRightInd w:val="0"/>
        <w:snapToGrid w:val="0"/>
        <w:spacing w:line="360" w:lineRule="auto"/>
        <w:ind w:firstLine="472" w:firstLineChars="20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四、履约检查和问题反馈</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1.甲方有权在其认为必要时，对乙方是否能够按照合同约定提供服务进行履约检查，以确保乙方所提供的服务能够依约满足甲方之项目需求，但不得因履约检查妨碍乙方的正常工作，乙方应予积极配合；</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2.合同履行期间，甲方有权将履行过程中出现的问题反馈给乙方，双方当事人应以书面形式约定需要完善和改进的内容。</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81" w:name="_Toc26555"/>
      <w:bookmarkStart w:id="182" w:name="_Toc31233"/>
      <w:bookmarkStart w:id="183" w:name="_Toc22011"/>
      <w:bookmarkStart w:id="184" w:name="_Toc15447"/>
      <w:bookmarkStart w:id="185" w:name="_Toc32670"/>
      <w:r>
        <w:rPr>
          <w:rFonts w:hint="eastAsia" w:asciiTheme="minorEastAsia" w:hAnsiTheme="minorEastAsia" w:eastAsiaTheme="minorEastAsia" w:cstheme="minorEastAsia"/>
          <w:b/>
          <w:sz w:val="24"/>
          <w:highlight w:val="none"/>
        </w:rPr>
        <w:t>五、结算方式和付款条件</w:t>
      </w:r>
      <w:bookmarkEnd w:id="181"/>
      <w:bookmarkEnd w:id="182"/>
      <w:bookmarkEnd w:id="183"/>
      <w:bookmarkEnd w:id="184"/>
      <w:bookmarkEnd w:id="185"/>
    </w:p>
    <w:p>
      <w:pPr>
        <w:adjustRightInd w:val="0"/>
        <w:snapToGrid w:val="0"/>
        <w:spacing w:line="360" w:lineRule="auto"/>
        <w:ind w:firstLine="472" w:firstLineChars="200"/>
        <w:outlineLvl w:val="0"/>
        <w:rPr>
          <w:rFonts w:asciiTheme="minorEastAsia" w:hAnsiTheme="minorEastAsia" w:eastAsiaTheme="minorEastAsia" w:cstheme="minorEastAsia"/>
          <w:bCs/>
          <w:sz w:val="24"/>
          <w:highlight w:val="none"/>
        </w:rPr>
      </w:pPr>
      <w:bookmarkStart w:id="186" w:name="_Toc13467"/>
      <w:bookmarkStart w:id="187" w:name="_Toc13154"/>
      <w:bookmarkStart w:id="188" w:name="_Toc30507"/>
      <w:bookmarkStart w:id="189" w:name="_Toc16163"/>
      <w:bookmarkStart w:id="190" w:name="_Toc18990"/>
      <w:r>
        <w:rPr>
          <w:rFonts w:hint="eastAsia" w:asciiTheme="minorEastAsia" w:hAnsiTheme="minorEastAsia" w:eastAsiaTheme="minorEastAsia" w:cstheme="minorEastAsia"/>
          <w:bCs/>
          <w:sz w:val="24"/>
          <w:highlight w:val="none"/>
        </w:rPr>
        <w:t>1.结算方式为转账或者电汇 ，若甲方采用银行承兑支付，双方另行协商；</w:t>
      </w:r>
    </w:p>
    <w:p>
      <w:pPr>
        <w:adjustRightInd w:val="0"/>
        <w:snapToGrid w:val="0"/>
        <w:spacing w:line="360" w:lineRule="auto"/>
        <w:ind w:firstLine="472" w:firstLineChars="200"/>
        <w:outlineLvl w:val="0"/>
        <w:rPr>
          <w:rFonts w:asciiTheme="minorEastAsia" w:hAnsiTheme="minorEastAsia" w:eastAsiaTheme="minorEastAsia" w:cstheme="minorEastAsia"/>
          <w:bCs/>
          <w:sz w:val="24"/>
          <w:highlight w:val="none"/>
        </w:rPr>
      </w:pPr>
      <w:r>
        <w:rPr>
          <w:rFonts w:hint="eastAsia" w:asciiTheme="minorEastAsia" w:hAnsiTheme="minorEastAsia" w:eastAsiaTheme="minorEastAsia" w:cstheme="minorEastAsia"/>
          <w:bCs/>
          <w:sz w:val="24"/>
          <w:highlight w:val="none"/>
        </w:rPr>
        <w:t>2.付款条件：乙方提供的服务或者货物应满足合同约定要求，未出现违规违约的情况 ；</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六、技术资料和保密义务</w:t>
      </w:r>
      <w:bookmarkEnd w:id="186"/>
      <w:bookmarkEnd w:id="187"/>
      <w:bookmarkEnd w:id="188"/>
      <w:bookmarkEnd w:id="189"/>
      <w:bookmarkEnd w:id="190"/>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1.乙方有权依据合同约定和项目需要，向甲方了解有关情况，调阅有关资料等，甲方应予积极配合；</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 乙方有义务妥善保管和保护由甲方提供的前款信息和资料等；</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91" w:name="_Toc19069"/>
      <w:r>
        <w:rPr>
          <w:rFonts w:hint="eastAsia" w:asciiTheme="minorEastAsia" w:hAnsiTheme="minorEastAsia" w:eastAsiaTheme="minorEastAsia" w:cstheme="minorEastAsia"/>
          <w:b/>
          <w:sz w:val="24"/>
          <w:highlight w:val="none"/>
        </w:rPr>
        <w:t>七、质量保证</w:t>
      </w:r>
      <w:bookmarkEnd w:id="191"/>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乙方应保证履行合同的人员数量和素质、软件和硬件设备的配置、场地、环境和设施等满足全面履行合同的要求。</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92" w:name="_Toc22267"/>
      <w:r>
        <w:rPr>
          <w:rFonts w:hint="eastAsia" w:asciiTheme="minorEastAsia" w:hAnsiTheme="minorEastAsia" w:eastAsiaTheme="minorEastAsia" w:cstheme="minorEastAsia"/>
          <w:b/>
          <w:sz w:val="24"/>
          <w:highlight w:val="none"/>
        </w:rPr>
        <w:t>八、 延迟履行</w:t>
      </w:r>
      <w:bookmarkEnd w:id="192"/>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93" w:name="_Toc10611"/>
      <w:r>
        <w:rPr>
          <w:rFonts w:hint="eastAsia" w:asciiTheme="minorEastAsia" w:hAnsiTheme="minorEastAsia" w:eastAsiaTheme="minorEastAsia" w:cstheme="minorEastAsia"/>
          <w:b/>
          <w:sz w:val="24"/>
          <w:highlight w:val="none"/>
        </w:rPr>
        <w:t>九、合同变更</w:t>
      </w:r>
      <w:bookmarkEnd w:id="193"/>
      <w:r>
        <w:rPr>
          <w:rFonts w:hint="eastAsia" w:asciiTheme="minorEastAsia" w:hAnsiTheme="minorEastAsia" w:eastAsiaTheme="minorEastAsia" w:cstheme="minorEastAsia"/>
          <w:b/>
          <w:sz w:val="24"/>
          <w:highlight w:val="none"/>
        </w:rPr>
        <w:t>或补充</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1.合同继续履行将损害国家利益和社会公共利益的，双方当事人应当以书面形式变更合同。有过错的一方应当承担赔偿责任，双方当事人都有过错的，各自承担相应的责任。</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bookmarkStart w:id="194" w:name="_Toc23368"/>
      <w:bookmarkStart w:id="195" w:name="_Toc21830"/>
      <w:bookmarkStart w:id="196" w:name="_Toc26689"/>
      <w:bookmarkStart w:id="197" w:name="_Toc42"/>
      <w:bookmarkStart w:id="198" w:name="_Toc10663"/>
      <w:r>
        <w:rPr>
          <w:rFonts w:hint="eastAsia" w:asciiTheme="minorEastAsia" w:hAnsiTheme="minorEastAsia" w:eastAsiaTheme="minorEastAsia" w:cstheme="minorEastAsia"/>
          <w:sz w:val="24"/>
          <w:highlight w:val="none"/>
        </w:rPr>
        <w:t>2.本合同如有未尽事宜，双方协商解决。经双方协商后以补充协议形式书面确认，并作为本合同不可分割部分。如补充协议与本合同有不同之处，以补充协议为准。</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3.本合同生效后，双方就质量、价款或者报酬、履行地点等内容没有约定或者约定不明确的，或者存在明显错误的，可以协议补充；不能达成补充协议的，按照合同相关条款确定。</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十、合同转让和分包</w:t>
      </w:r>
      <w:bookmarkEnd w:id="194"/>
      <w:bookmarkEnd w:id="195"/>
      <w:bookmarkEnd w:id="196"/>
      <w:bookmarkEnd w:id="197"/>
      <w:bookmarkEnd w:id="198"/>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199" w:name="_Toc25571"/>
      <w:bookmarkStart w:id="200" w:name="_Toc14371"/>
      <w:bookmarkStart w:id="201" w:name="_Toc4720"/>
      <w:bookmarkStart w:id="202" w:name="_Toc26633"/>
      <w:bookmarkStart w:id="203" w:name="_Toc32494"/>
      <w:r>
        <w:rPr>
          <w:rFonts w:hint="eastAsia" w:asciiTheme="minorEastAsia" w:hAnsiTheme="minorEastAsia" w:eastAsiaTheme="minorEastAsia" w:cstheme="minorEastAsia"/>
          <w:b/>
          <w:sz w:val="24"/>
          <w:highlight w:val="none"/>
        </w:rPr>
        <w:t>十一、不可抗力</w:t>
      </w:r>
      <w:bookmarkEnd w:id="199"/>
      <w:bookmarkEnd w:id="200"/>
      <w:bookmarkEnd w:id="201"/>
      <w:bookmarkEnd w:id="202"/>
      <w:bookmarkEnd w:id="203"/>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1.如果任何一方遭遇法律规定的不可抗力，致使合同履行受阻时，履行合同的期限应予延长，延长的期限应相当于不可抗力所影响的时间；</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2.因不可抗力致使不能实现合同目的的，当事人可以解除合同；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3.因不可抗力致使合同有变更必要的，双方当事人应在</w:t>
      </w:r>
      <w:r>
        <w:rPr>
          <w:rFonts w:hint="eastAsia" w:asciiTheme="minorEastAsia" w:hAnsiTheme="minorEastAsia" w:eastAsiaTheme="minorEastAsia" w:cstheme="minorEastAsia"/>
          <w:sz w:val="24"/>
          <w:highlight w:val="none"/>
          <w:u w:val="single"/>
        </w:rPr>
        <w:t>5个工作日</w:t>
      </w:r>
      <w:r>
        <w:rPr>
          <w:rFonts w:hint="eastAsia" w:asciiTheme="minorEastAsia" w:hAnsiTheme="minorEastAsia" w:eastAsiaTheme="minorEastAsia" w:cstheme="minorEastAsia"/>
          <w:sz w:val="24"/>
          <w:highlight w:val="none"/>
        </w:rPr>
        <w:t>内以书面形式变更合同；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4.受不可抗力影响的一方在不可抗力发生后，应在</w:t>
      </w:r>
      <w:r>
        <w:rPr>
          <w:rFonts w:hint="eastAsia" w:asciiTheme="minorEastAsia" w:hAnsiTheme="minorEastAsia" w:eastAsiaTheme="minorEastAsia" w:cstheme="minorEastAsia"/>
          <w:sz w:val="24"/>
          <w:highlight w:val="none"/>
          <w:u w:val="single"/>
        </w:rPr>
        <w:t>3个工作日</w:t>
      </w:r>
      <w:r>
        <w:rPr>
          <w:rFonts w:hint="eastAsia" w:asciiTheme="minorEastAsia" w:hAnsiTheme="minorEastAsia" w:eastAsiaTheme="minorEastAsia" w:cstheme="minorEastAsia"/>
          <w:sz w:val="24"/>
          <w:highlight w:val="none"/>
        </w:rPr>
        <w:t>内以书面形式通知对方当事人，并在</w:t>
      </w:r>
      <w:r>
        <w:rPr>
          <w:rFonts w:hint="eastAsia" w:asciiTheme="minorEastAsia" w:hAnsiTheme="minorEastAsia" w:eastAsiaTheme="minorEastAsia" w:cstheme="minorEastAsia"/>
          <w:sz w:val="24"/>
          <w:highlight w:val="none"/>
          <w:u w:val="single"/>
        </w:rPr>
        <w:t>3个工作日</w:t>
      </w:r>
      <w:r>
        <w:rPr>
          <w:rFonts w:hint="eastAsia" w:asciiTheme="minorEastAsia" w:hAnsiTheme="minorEastAsia" w:eastAsiaTheme="minorEastAsia" w:cstheme="minorEastAsia"/>
          <w:sz w:val="24"/>
          <w:highlight w:val="none"/>
        </w:rPr>
        <w:t>内，将有关部门出具的证明文件送达对方当事人。</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204" w:name="_Toc23854"/>
      <w:bookmarkStart w:id="205" w:name="_Toc3638"/>
      <w:bookmarkStart w:id="206" w:name="_Toc25783"/>
      <w:bookmarkStart w:id="207" w:name="_Toc14115"/>
      <w:bookmarkStart w:id="208" w:name="_Toc24465"/>
      <w:r>
        <w:rPr>
          <w:rFonts w:hint="eastAsia" w:asciiTheme="minorEastAsia" w:hAnsiTheme="minorEastAsia" w:eastAsiaTheme="minorEastAsia" w:cstheme="minorEastAsia"/>
          <w:b/>
          <w:sz w:val="24"/>
          <w:highlight w:val="none"/>
        </w:rPr>
        <w:t>十二、税费</w:t>
      </w:r>
      <w:bookmarkEnd w:id="204"/>
      <w:bookmarkEnd w:id="205"/>
      <w:bookmarkEnd w:id="206"/>
      <w:bookmarkEnd w:id="207"/>
      <w:bookmarkEnd w:id="208"/>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与合同有关的一切税费，均按照中华人民共和国法律的相关规定缴纳。</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209" w:name="_Toc25525"/>
      <w:bookmarkStart w:id="210" w:name="_Toc30105"/>
      <w:bookmarkStart w:id="211" w:name="_Toc7315"/>
      <w:bookmarkStart w:id="212" w:name="_Toc14814"/>
      <w:bookmarkStart w:id="213" w:name="_Toc26883"/>
      <w:r>
        <w:rPr>
          <w:rFonts w:hint="eastAsia" w:asciiTheme="minorEastAsia" w:hAnsiTheme="minorEastAsia" w:eastAsiaTheme="minorEastAsia" w:cstheme="minorEastAsia"/>
          <w:b/>
          <w:sz w:val="24"/>
          <w:highlight w:val="none"/>
        </w:rPr>
        <w:t>十三、乙方破产</w:t>
      </w:r>
      <w:bookmarkEnd w:id="209"/>
      <w:bookmarkEnd w:id="210"/>
      <w:bookmarkEnd w:id="211"/>
      <w:bookmarkEnd w:id="212"/>
      <w:bookmarkEnd w:id="213"/>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214" w:name="_Toc23323"/>
      <w:bookmarkStart w:id="215" w:name="_Toc1123"/>
      <w:bookmarkStart w:id="216" w:name="_Toc2016"/>
      <w:r>
        <w:rPr>
          <w:rFonts w:hint="eastAsia" w:asciiTheme="minorEastAsia" w:hAnsiTheme="minorEastAsia" w:eastAsiaTheme="minorEastAsia" w:cstheme="minorEastAsia"/>
          <w:b/>
          <w:sz w:val="24"/>
          <w:highlight w:val="none"/>
        </w:rPr>
        <w:t>十四、合同中止、终止</w:t>
      </w:r>
      <w:bookmarkEnd w:id="214"/>
      <w:bookmarkEnd w:id="215"/>
      <w:bookmarkEnd w:id="216"/>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 双方当事人不得擅自中止或者终止合同；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2.双方当事人应当中止或者终止合同，有过错的一方应当承担赔偿责任，双方当事人都有过错的，各自承担相应的责任；</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3.合同到期后，自动终止合同；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4.乙方完成合同约定内容或者履约金额达到合同总金额的，自动终止合同；若在合同有效期之前完成的，提前终止合同，无须再另行签订终止补充协议；</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5.出现违约行为的，甲方有权终止或解除合同。</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217" w:name="_Toc14525"/>
      <w:bookmarkStart w:id="218" w:name="_Toc1969"/>
      <w:bookmarkStart w:id="219" w:name="_Toc17363"/>
      <w:r>
        <w:rPr>
          <w:rFonts w:hint="eastAsia" w:asciiTheme="minorEastAsia" w:hAnsiTheme="minorEastAsia" w:eastAsiaTheme="minorEastAsia" w:cstheme="minorEastAsia"/>
          <w:b/>
          <w:sz w:val="24"/>
          <w:highlight w:val="none"/>
        </w:rPr>
        <w:t>十五</w:t>
      </w:r>
      <w:bookmarkEnd w:id="217"/>
      <w:bookmarkEnd w:id="218"/>
      <w:bookmarkEnd w:id="219"/>
      <w:bookmarkStart w:id="220" w:name="_Toc2308"/>
      <w:bookmarkStart w:id="221" w:name="_Toc31892"/>
      <w:bookmarkStart w:id="222" w:name="_Toc25198"/>
      <w:bookmarkStart w:id="223" w:name="_Toc9808"/>
      <w:bookmarkStart w:id="224" w:name="_Toc12666"/>
      <w:r>
        <w:rPr>
          <w:rFonts w:hint="eastAsia" w:asciiTheme="minorEastAsia" w:hAnsiTheme="minorEastAsia" w:eastAsiaTheme="minorEastAsia" w:cstheme="minorEastAsia"/>
          <w:b/>
          <w:sz w:val="24"/>
          <w:highlight w:val="none"/>
        </w:rPr>
        <w:t>、通知和送达</w:t>
      </w:r>
      <w:bookmarkEnd w:id="220"/>
      <w:bookmarkEnd w:id="221"/>
      <w:bookmarkEnd w:id="222"/>
      <w:bookmarkEnd w:id="223"/>
      <w:bookmarkEnd w:id="224"/>
    </w:p>
    <w:p>
      <w:pPr>
        <w:adjustRightInd w:val="0"/>
        <w:snapToGrid w:val="0"/>
        <w:spacing w:line="360" w:lineRule="auto"/>
        <w:ind w:firstLine="472" w:firstLineChars="200"/>
        <w:rPr>
          <w:rFonts w:asciiTheme="minorEastAsia" w:hAnsiTheme="minorEastAsia" w:eastAsiaTheme="minorEastAsia" w:cstheme="minorEastAsia"/>
          <w:sz w:val="24"/>
          <w:highlight w:val="none"/>
        </w:rPr>
      </w:pPr>
      <w:bookmarkStart w:id="225" w:name="_Toc18401"/>
      <w:bookmarkStart w:id="226" w:name="_Toc27674"/>
      <w:r>
        <w:rPr>
          <w:rFonts w:hint="eastAsia" w:asciiTheme="minorEastAsia" w:hAnsiTheme="minorEastAsia" w:eastAsiaTheme="minorEastAsia" w:cstheme="minorEastAsia"/>
          <w:sz w:val="24"/>
          <w:highlight w:val="none"/>
        </w:rPr>
        <w:t>1.任何一方因履行合同等问题而以合同第二章尾部所列明的电子邮件发出的所有通知、文件、材料，均视为已向对方当事人送达；任何一方变更上述送达方式或者地址的，应于</w:t>
      </w:r>
      <w:r>
        <w:rPr>
          <w:rFonts w:hint="eastAsia" w:asciiTheme="minorEastAsia" w:hAnsiTheme="minorEastAsia" w:eastAsiaTheme="minorEastAsia" w:cstheme="minorEastAsia"/>
          <w:sz w:val="24"/>
          <w:highlight w:val="none"/>
          <w:u w:val="single"/>
        </w:rPr>
        <w:t>3</w:t>
      </w:r>
      <w:r>
        <w:rPr>
          <w:rFonts w:hint="eastAsia" w:asciiTheme="minorEastAsia" w:hAnsiTheme="minorEastAsia" w:eastAsiaTheme="minorEastAsia" w:cstheme="minorEastAsia"/>
          <w:sz w:val="24"/>
          <w:highlight w:val="none"/>
        </w:rPr>
        <w:t>个工作日内书面通知对方当事人，在对方当事人收到有关变更通知之前，变更前的约定送达方式或者地址仍视为有效。</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2.以当面交付方式送达的，交付之时视为送达；以电子邮件方式送达的，发出电子邮件之时视为送达；以邮寄方式送达的，邮件挂号寄出或者交邮之日之次日视为送达。</w:t>
      </w:r>
      <w:bookmarkEnd w:id="225"/>
      <w:bookmarkEnd w:id="226"/>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bookmarkStart w:id="227" w:name="_Toc30599"/>
      <w:bookmarkStart w:id="228" w:name="_Toc18540"/>
      <w:bookmarkStart w:id="229" w:name="_Toc4355"/>
      <w:bookmarkStart w:id="230" w:name="_Toc12254"/>
      <w:bookmarkStart w:id="231" w:name="_Toc5063"/>
      <w:bookmarkStart w:id="232" w:name="_Toc28906"/>
      <w:bookmarkStart w:id="233" w:name="_Toc20808"/>
      <w:bookmarkStart w:id="234" w:name="_Toc27644"/>
      <w:r>
        <w:rPr>
          <w:rFonts w:hint="eastAsia" w:asciiTheme="minorEastAsia" w:hAnsiTheme="minorEastAsia" w:eastAsiaTheme="minorEastAsia" w:cstheme="minorEastAsia"/>
          <w:b/>
          <w:sz w:val="24"/>
          <w:highlight w:val="none"/>
        </w:rPr>
        <w:t>十六、计量单位</w:t>
      </w:r>
      <w:bookmarkEnd w:id="227"/>
      <w:bookmarkEnd w:id="228"/>
      <w:bookmarkEnd w:id="229"/>
    </w:p>
    <w:p>
      <w:pPr>
        <w:adjustRightInd w:val="0"/>
        <w:snapToGrid w:val="0"/>
        <w:spacing w:line="360" w:lineRule="auto"/>
        <w:ind w:firstLine="472" w:firstLineChars="20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sz w:val="24"/>
          <w:highlight w:val="none"/>
        </w:rPr>
        <w:t>除技术规范中另有规定外，合同的计量单位均使用国家法定计量单位。</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十七、合同使用的文字和适用的法律</w:t>
      </w:r>
      <w:bookmarkEnd w:id="230"/>
      <w:bookmarkEnd w:id="231"/>
      <w:bookmarkEnd w:id="232"/>
      <w:bookmarkEnd w:id="233"/>
      <w:bookmarkEnd w:id="234"/>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1.合同使用汉语书写、变更和解释；</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2.合同适用中华人民共和国法律。</w:t>
      </w:r>
    </w:p>
    <w:p>
      <w:pPr>
        <w:adjustRightInd w:val="0"/>
        <w:snapToGrid w:val="0"/>
        <w:spacing w:line="360" w:lineRule="auto"/>
        <w:ind w:firstLine="472" w:firstLineChars="200"/>
        <w:outlineLvl w:val="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十八、特别提示</w:t>
      </w:r>
    </w:p>
    <w:p>
      <w:pPr>
        <w:adjustRightInd w:val="0"/>
        <w:snapToGrid w:val="0"/>
        <w:spacing w:line="360" w:lineRule="auto"/>
        <w:ind w:firstLine="472" w:firstLineChars="200"/>
        <w:rPr>
          <w:rFonts w:asciiTheme="minorEastAsia" w:hAnsiTheme="minorEastAsia" w:eastAsiaTheme="minorEastAsia" w:cstheme="minorEastAsia"/>
          <w:b/>
          <w:bCs/>
          <w:sz w:val="24"/>
          <w:highlight w:val="none"/>
          <w:u w:val="single"/>
        </w:rPr>
      </w:pPr>
      <w:r>
        <w:rPr>
          <w:rFonts w:hint="eastAsia" w:asciiTheme="minorEastAsia" w:hAnsiTheme="minorEastAsia" w:eastAsiaTheme="minorEastAsia" w:cstheme="minorEastAsia"/>
          <w:b/>
          <w:bCs/>
          <w:sz w:val="24"/>
          <w:highlight w:val="none"/>
          <w:u w:val="single"/>
        </w:rPr>
        <w:t>甲乙双方共同确认：本合同系经双方协商后订立，双方已就本合同（包括但不限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pPr>
        <w:adjustRightInd w:val="0"/>
        <w:snapToGrid w:val="0"/>
        <w:spacing w:line="360" w:lineRule="auto"/>
        <w:rPr>
          <w:rFonts w:asciiTheme="minorEastAsia" w:hAnsiTheme="minorEastAsia" w:eastAsiaTheme="minorEastAsia" w:cstheme="minorEastAsia"/>
          <w:sz w:val="24"/>
          <w:highlight w:val="none"/>
        </w:rPr>
      </w:pPr>
    </w:p>
    <w:p>
      <w:pPr>
        <w:pStyle w:val="54"/>
        <w:ind w:left="0" w:leftChars="0" w:firstLine="0" w:firstLineChars="0"/>
        <w:jc w:val="center"/>
        <w:rPr>
          <w:rFonts w:asciiTheme="minorEastAsia" w:hAnsiTheme="minorEastAsia" w:eastAsiaTheme="minorEastAsia" w:cstheme="minorEastAsia"/>
          <w:b/>
          <w:szCs w:val="24"/>
          <w:highlight w:val="none"/>
        </w:rPr>
      </w:pPr>
    </w:p>
    <w:tbl>
      <w:tblPr>
        <w:tblStyle w:val="25"/>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721"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 xml:space="preserve">乙方： </w:t>
            </w:r>
            <w:r>
              <w:rPr>
                <w:rFonts w:hint="eastAsia" w:asciiTheme="minorEastAsia" w:hAnsiTheme="minorEastAsia" w:eastAsiaTheme="minorEastAsia" w:cstheme="minorEastAsia"/>
                <w:sz w:val="24"/>
                <w:highlight w:val="none"/>
                <w:u w:val="single"/>
              </w:rPr>
              <w:t>***有限公司</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zh-CN"/>
              </w:rPr>
              <w:t>统一社会信用代码：</w:t>
            </w:r>
          </w:p>
          <w:p>
            <w:pPr>
              <w:adjustRightInd w:val="0"/>
              <w:snapToGrid w:val="0"/>
              <w:spacing w:line="360" w:lineRule="auto"/>
              <w:rPr>
                <w:rFonts w:asciiTheme="minorEastAsia" w:hAnsiTheme="minorEastAsia" w:eastAsiaTheme="minorEastAsia" w:cstheme="minorEastAsia"/>
                <w:sz w:val="24"/>
                <w:highlight w:val="none"/>
                <w:lang w:val="zh-CN"/>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地址：</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zh-CN"/>
              </w:rPr>
              <w:t>电子邮箱</w:t>
            </w:r>
            <w:r>
              <w:rPr>
                <w:rFonts w:hint="eastAsia" w:asciiTheme="minorEastAsia" w:hAnsiTheme="minorEastAsia" w:eastAsiaTheme="minorEastAsia" w:cstheme="minorEastAsia"/>
                <w:sz w:val="24"/>
                <w:highlight w:val="none"/>
              </w:rPr>
              <w:t>：LJGS_CG@163.com</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zh-CN"/>
              </w:rPr>
              <w:t>电子邮箱：</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法定代表人或授权代表（签字）：</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zh-CN"/>
              </w:rPr>
              <w:t>开户银行：</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lang w:val="zh-CN"/>
              </w:rPr>
            </w:pPr>
            <w:r>
              <w:rPr>
                <w:rFonts w:hint="eastAsia" w:asciiTheme="minorEastAsia" w:hAnsiTheme="minorEastAsia" w:eastAsiaTheme="minorEastAsia" w:cstheme="minorEastAsia"/>
                <w:sz w:val="24"/>
                <w:highlight w:val="none"/>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zh-CN"/>
              </w:rPr>
              <w:t>开户账号：</w:t>
            </w:r>
          </w:p>
        </w:tc>
      </w:tr>
    </w:tbl>
    <w:p>
      <w:pPr>
        <w:pStyle w:val="54"/>
        <w:ind w:left="0" w:leftChars="0" w:firstLine="0" w:firstLineChars="0"/>
        <w:jc w:val="center"/>
        <w:rPr>
          <w:rFonts w:asciiTheme="minorEastAsia" w:hAnsiTheme="minorEastAsia" w:eastAsiaTheme="minorEastAsia" w:cstheme="minorEastAsia"/>
          <w:b/>
          <w:szCs w:val="24"/>
          <w:highlight w:val="none"/>
        </w:rPr>
      </w:pPr>
    </w:p>
    <w:p>
      <w:pPr>
        <w:rPr>
          <w:highlight w:val="none"/>
        </w:rPr>
      </w:pPr>
      <w:r>
        <w:rPr>
          <w:rFonts w:hint="eastAsia"/>
          <w:highlight w:val="none"/>
        </w:rPr>
        <w:br w:type="page"/>
      </w:r>
    </w:p>
    <w:p>
      <w:pPr>
        <w:pStyle w:val="54"/>
        <w:ind w:left="0" w:leftChars="0" w:firstLine="0" w:firstLineChars="0"/>
        <w:jc w:val="center"/>
        <w:rPr>
          <w:rFonts w:asciiTheme="minorEastAsia" w:hAnsiTheme="minorEastAsia" w:eastAsiaTheme="minorEastAsia" w:cstheme="minorEastAsia"/>
          <w:b/>
          <w:szCs w:val="24"/>
          <w:highlight w:val="none"/>
        </w:rPr>
      </w:pPr>
      <w:r>
        <w:rPr>
          <w:rFonts w:hint="eastAsia" w:asciiTheme="minorEastAsia" w:hAnsiTheme="minorEastAsia" w:eastAsiaTheme="minorEastAsia" w:cstheme="minorEastAsia"/>
          <w:b/>
          <w:szCs w:val="24"/>
          <w:highlight w:val="none"/>
        </w:rPr>
        <w:t>第三章  设备日常检修维护考核细则</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甲方：杭州临江环境能源有限公司，</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1.检修现场文明方面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1.1维护检修中的废物、废油、废料必须集中处理，检修用具、解体物件严禁乱用、乱放，场地做到“工完、料尽、场地清”，违者将限时整改并处以100-200元/次的考核扣款。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1.2检修完设备、系统应进行认真清扫，物见本色，不能有积灰、积水、油污及油漆破损等现象存在，达不到要求将考核扣款100—200元/处。</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1.3对检修维护工作中出现的事故、违章行为按维护合同《安全协议》及甲方相关安全管理标准对照执行。</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1.4乙方从事特种作业检修时，必须提供特种作业人员证件，交甲方备案，若不能及时提供有效证件，将考核扣款500—1000元/次。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1.5甲方将定期、不定期地对现场卫生状况进行检查，不合格处甲方将责令乙方进行整改，整改仍不合格的考核扣款200-500元/次。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2.质量及技术方面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2.1乙方对所独立承担、或与甲方共同承担的设备检修维护质量负责，检修维护后由于检修质量出现问题时，乙方负责修理完好，并根据情节酌情给予500-1000元/次的考核扣款。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2.2检修工作必须按检修规程执行，如乙方未经许可擅自变更工作步骤、程序，责任由乙方负责，除进行100-500元/次考核扣款外，须按甲方要求无条件整改，所发生的费用由乙方自行承担。</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2.3需甲方见证的工作，必须由甲方专业工程师认可签证后方可进行下一步工作，如未经许可自行越过，除进行100—500元/次考核扣款外，甲方同时还有权责令乙方返工处理，造成的一切后果，乙方自行负责。</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2.4检修维护工作中，治理跑冒滴漏工作与主体工程同步进行，甲方进行质量监督，设备检修后出现跑冒滴漏，按100—500元/点进行考核扣款。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2.5由于乙方检修技术素质低或出现重大责任质量事故，造成设备损坏的，根据经济损失情况，乙方应给予经济赔偿。</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2.6乙方检修技术台账、巡检记录应齐全，记录完整、规范，甲方各专业每月组织两次检查，检查不合格，考核扣款100-200元/次，并限期整改，逾期未整改完成将加倍考核扣款。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3设备巡检及消缺、定期工作方面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3.1乙方检修维护人员按照甲方专工制定的点检要求巡检，每天上午、下午至少各一次，未按要求执行的考核扣款200元/次。主机、重要辅机设备运行异常时须进行旁站监护，以便出现异常时及时进行处理以免扩大设备损伤程度和造成事故，未按要求执行的考核扣款200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3.2乙方检修维护人员巡检必须佩带必要的巡检用具，并按照甲方专工制定的点检要求，记录点检表单，未按要求执行的考核扣款200元/次。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3.3乙方应自觉及时地配备消除设备缺陷，运行人员、专工等通知的缺陷，均应无条件地及时消除，未按要求执行的每次考核扣款200—1000元。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3.4遇到危及机组安全稳定运行或人身设备安全的重大缺陷消除时，乙方技术人员必须编制方案，报甲方公司领导审批后方可实施，未按要求执行的每次考核扣款2000元/次。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3.5一类、二类缺陷消除后报由甲方专工验收，三类缺陷消除后由运行人员验收，未按要求执行的每次考核扣款200元。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3.6由于巡检维护不到位而出现设备故障或损坏情况时，视情况进行考核扣款500-1000元/次。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3.7一、二类缺陷应在8小时内消除，否则每延误8小时考核扣款乙方2000元；三类缺陷应在48小时内消除，否则每延误24小时考核扣款乙方200元；暂时无法消除的缺陷，必须征得专工确认，并报生产分管领导同意。</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3.8因检修维护原因而影响机组出力或缺陷消除不及时造成重大运行方式改变或事故扩大的引起甲方非计划停机，按照事故损失的10％进行考核扣款，最低不低于2000元的考核扣款。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3.9由于乙方不能及时消除缺陷，经检查连续3天及以上消缺率低于 95%/天时（不含待备品备件和需停机处理缺陷），考核扣款500-5000元/次。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3.10对于设备故障进行抢修及机组停运检修工作，乙方应积极组织人力在规定时间内完成，由于乙方检修效率低或其他原因不能在规定时间内完成检修工作，影响机组少发电或少处理垃圾的，甲方根据损失情况对乙方进行经济考核扣款，最低不低于5000元的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3.11乙方应按照甲方生产技术部制定的定期工作计划和要求，按时执行定期工作，无故延误，考核扣款200元/次，对设备运行产生不良后果的，处以500元/次考核扣款。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4.人员管理方面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4.1合同承包范围内的工作乙方以任何形式拒绝的，包括不接受甲方专工专业管理及工作安排，都将受到500－1000元/次的考核扣款。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4.2消缺、检修维护及事故抢修，应在承诺的时间内响应并投入工作；对于紧急缺陷处理或抢修，应尽可能地缩短响应时间；如发现响应时间无故滞后，影响设备及系统的正常运行，甚至影响系统的安全运行，则视影响程度进行500-2000元/次的考核扣款，并记入业绩考核；乙方检修人员接到通知后15分钟内（夜间20分钟）须到达现场，按以上时间每延迟1分钟考核扣款50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4.3夜间及节假日（即非正常工作时间）值班，须确保值班电话通畅，并有专人值守，以保证响应的及时性，不得出现值班电话无人值守或人力资源不充足而延误缺陷处理或抢修的情况，否则将对乙方进行200元/次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4.4针对合同承包范围内项目，乙方由于技术力量不够或其他原因而拒绝工作的，除按实际工作的10倍工日金额进行考核扣款外，同时责令乙方充实工作人员，直至满足现场工作要求为止。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4.5乙方人员总数量及配置要求必须满足合同要求，若不能满足要求，甲方有权责令乙方立即整改，整改仍不合格的，当月总配置人员数量少于合同规定1人时，当月考核扣款10000元/人.月，当月总配置人员数量少于合同规定2人时，当月考核扣款15000元/人.月；当月总配置人员数量少于合同规定3人及以上时，当月考核20000元/人.月，甲方有权终止合同，扣除履约保证金并扣除乙方当月维保费用五万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4.6检修维护人员在维护工作中有严重违规行为的，考核扣款500—2000元/次，视情况确定是否将其辞退。</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4.7甲方安排的工作，乙方应在规定的、合理的时间内完成。由于乙方人为因素或检修设备工器具原因造成工作延误，由乙方承担责任，并处以200-1000元/次的考核扣款。如由于考核扣款造成乙方消极怠工，使工作再次延误，将加重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4.8明确夜班人员组成及数量：夜间值班人员6人。夜间值班人员均应在甲方指定房间值班，如发现人员未达到要求，考核扣款100元/人次。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4.9乙方人员在甲方管辖范围内发生打架、斗殴、赌博、偷盗等事件视情节予以2000元/次考核扣款，并要求乙方开除该人员。</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4.10乙方应服从甲方的指挥、调配、指导、管理，对不服从甲方管理，甚至出言不逊者，视情节予以考核扣款500—5000元/次，评估情况可辞退当事人。若造成工作延误影响生产运行的，甲方有权另委他人施工，产生的费用由乙方承担并从当月维保费中扣除，若当月维保费不够累计扣除，根据对现场生产的影响评估加倍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4.11维保单位应遵循友好合作，相互配合的原则，如出现跨界维护检修不配合、干扰、阻碍、破坏等情况，视情节予以考核扣款500—5000元/次，若造成工作延误影响生产运行的，将加重考核扣款。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4.12跨界维护安全文明施工不达标，损坏、私自挪用他人财物，干扰他人正常工作的，除赔偿相应损失外，视情节予以考核扣款500—5000元/次。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4.13乙方检修维护不当造成损失，如：滑线电缆绑扎不规范、滑车防撞块更换不及时导致的滑线电缆被拉断，钢丝绳、起升链条及销轴检查、维护不到位造成的断裂及其他后果或液压系统检查不到位造成的跑油等，视情节轻重处罚500-10000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5.材料及备品管理方面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5.1检修工作中所需的备品备件、主材由甲方生产技术部专工申报采购计划。甲方生产技术部对应专业专工开领料单。更换下来的零部件须交回甲方库房存放并核对清楚，若未交回，视情节予以100—500元/次以上的考核扣款。</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5.2由于乙方人为因素造成备件损坏、丢失的，按原价赔偿。</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6.设备管理应达到的指标</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6.1因设备缺陷处理原因导致非计划停运，停运1次考核扣款2000元。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6.2设备缺陷消缺完成率100%（经甲方认定能消除缺陷）。每降低1%，考核扣款500元。</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乙方除应遵守以上各条考核规定外，还应该遵守甲方安全管理、设备管理、生产管理等各项管理规定。</w:t>
      </w:r>
    </w:p>
    <w:p>
      <w:pPr>
        <w:pStyle w:val="22"/>
        <w:jc w:val="left"/>
        <w:rPr>
          <w:rFonts w:asciiTheme="minorEastAsia" w:hAnsiTheme="minorEastAsia" w:eastAsiaTheme="minorEastAsia" w:cstheme="minorEastAsia"/>
          <w:b/>
          <w:szCs w:val="24"/>
          <w:highlight w:val="none"/>
        </w:rPr>
      </w:pPr>
      <w:r>
        <w:rPr>
          <w:rFonts w:hint="eastAsia" w:asciiTheme="minorEastAsia" w:hAnsiTheme="minorEastAsia" w:eastAsiaTheme="minorEastAsia" w:cstheme="minorEastAsia"/>
          <w:color w:val="auto"/>
          <w:sz w:val="24"/>
          <w:szCs w:val="24"/>
          <w:highlight w:val="none"/>
        </w:rPr>
        <w:t>以上考核内容、条款均由甲方生产技术部专工按实际进行考核，甲方生产技术部经理审核，经甲方生产分管领导批准由甲方财务部从当月</w:t>
      </w:r>
    </w:p>
    <w:p>
      <w:pPr>
        <w:adjustRightInd w:val="0"/>
        <w:snapToGrid w:val="0"/>
        <w:spacing w:line="360" w:lineRule="auto"/>
        <w:rPr>
          <w:rFonts w:asciiTheme="minorEastAsia" w:hAnsiTheme="minorEastAsia" w:eastAsiaTheme="minorEastAsia" w:cstheme="minorEastAsia"/>
          <w:sz w:val="24"/>
          <w:highlight w:val="none"/>
        </w:rPr>
      </w:pPr>
    </w:p>
    <w:p>
      <w:pPr>
        <w:adjustRightInd w:val="0"/>
        <w:snapToGrid w:val="0"/>
        <w:spacing w:line="360" w:lineRule="auto"/>
        <w:rPr>
          <w:rFonts w:asciiTheme="minorEastAsia" w:hAnsiTheme="minorEastAsia" w:eastAsiaTheme="minorEastAsia" w:cstheme="minorEastAsia"/>
          <w:sz w:val="24"/>
          <w:highlight w:val="none"/>
        </w:rPr>
      </w:pPr>
    </w:p>
    <w:p>
      <w:pPr>
        <w:pStyle w:val="54"/>
        <w:ind w:left="0" w:leftChars="0" w:firstLine="0" w:firstLineChars="0"/>
        <w:jc w:val="center"/>
        <w:rPr>
          <w:rFonts w:asciiTheme="minorEastAsia" w:hAnsiTheme="minorEastAsia" w:eastAsiaTheme="minorEastAsia" w:cstheme="minorEastAsia"/>
          <w:b/>
          <w:szCs w:val="24"/>
          <w:highlight w:val="none"/>
        </w:rPr>
      </w:pPr>
      <w:r>
        <w:rPr>
          <w:rFonts w:hint="eastAsia" w:asciiTheme="minorEastAsia" w:hAnsiTheme="minorEastAsia" w:eastAsiaTheme="minorEastAsia" w:cstheme="minorEastAsia"/>
          <w:b/>
          <w:szCs w:val="24"/>
          <w:highlight w:val="none"/>
        </w:rPr>
        <w:t>第四章  安全协议</w:t>
      </w:r>
    </w:p>
    <w:p>
      <w:pPr>
        <w:widowControl/>
        <w:adjustRightInd w:val="0"/>
        <w:snapToGrid w:val="0"/>
        <w:spacing w:line="360" w:lineRule="auto"/>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发包单位：</w:t>
      </w:r>
      <w:r>
        <w:rPr>
          <w:rFonts w:hint="eastAsia" w:asciiTheme="minorEastAsia" w:hAnsiTheme="minorEastAsia" w:eastAsiaTheme="minorEastAsia" w:cstheme="minorEastAsia"/>
          <w:kern w:val="0"/>
          <w:sz w:val="24"/>
          <w:highlight w:val="none"/>
          <w:u w:val="single"/>
        </w:rPr>
        <w:t>杭州临江环境能源有限公司</w:t>
      </w:r>
      <w:r>
        <w:rPr>
          <w:rFonts w:hint="eastAsia" w:asciiTheme="minorEastAsia" w:hAnsiTheme="minorEastAsia" w:eastAsiaTheme="minorEastAsia" w:cstheme="minorEastAsia"/>
          <w:kern w:val="0"/>
          <w:sz w:val="24"/>
          <w:highlight w:val="none"/>
        </w:rPr>
        <w:t xml:space="preserve">（简称甲方） </w:t>
      </w:r>
    </w:p>
    <w:p>
      <w:pPr>
        <w:widowControl/>
        <w:adjustRightInd w:val="0"/>
        <w:snapToGrid w:val="0"/>
        <w:spacing w:line="360" w:lineRule="auto"/>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承包单位：</w:t>
      </w:r>
      <w:r>
        <w:rPr>
          <w:rFonts w:hint="eastAsia" w:asciiTheme="minorEastAsia" w:hAnsiTheme="minorEastAsia" w:eastAsiaTheme="minorEastAsia" w:cstheme="minorEastAsia"/>
          <w:kern w:val="0"/>
          <w:sz w:val="24"/>
          <w:highlight w:val="none"/>
          <w:u w:val="single"/>
        </w:rPr>
        <w:t xml:space="preserve">  ***有限公司 </w:t>
      </w:r>
      <w:r>
        <w:rPr>
          <w:rFonts w:hint="eastAsia" w:asciiTheme="minorEastAsia" w:hAnsiTheme="minorEastAsia" w:eastAsiaTheme="minorEastAsia" w:cstheme="minorEastAsia"/>
          <w:kern w:val="0"/>
          <w:sz w:val="24"/>
          <w:highlight w:val="none"/>
        </w:rPr>
        <w:t xml:space="preserve">（简称乙方） </w:t>
      </w:r>
    </w:p>
    <w:p>
      <w:pPr>
        <w:widowControl/>
        <w:adjustRightInd w:val="0"/>
        <w:snapToGrid w:val="0"/>
        <w:spacing w:line="360" w:lineRule="auto"/>
        <w:ind w:firstLine="472"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甲方将</w:t>
      </w:r>
      <w:r>
        <w:rPr>
          <w:rFonts w:hint="eastAsia" w:asciiTheme="minorEastAsia" w:hAnsiTheme="minorEastAsia" w:eastAsiaTheme="minorEastAsia" w:cstheme="minorEastAsia"/>
          <w:kern w:val="0"/>
          <w:sz w:val="24"/>
          <w:highlight w:val="none"/>
          <w:u w:val="single"/>
        </w:rPr>
        <w:t xml:space="preserve">   2024年临江公司***采购项目 </w:t>
      </w:r>
      <w:r>
        <w:rPr>
          <w:rFonts w:hint="eastAsia" w:asciiTheme="minorEastAsia" w:hAnsiTheme="minorEastAsia" w:eastAsiaTheme="minorEastAsia" w:cstheme="minorEastAsia"/>
          <w:kern w:val="0"/>
          <w:sz w:val="24"/>
          <w:highlight w:val="none"/>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pPr>
        <w:widowControl/>
        <w:adjustRightInd w:val="0"/>
        <w:snapToGrid w:val="0"/>
        <w:spacing w:line="360" w:lineRule="auto"/>
        <w:ind w:firstLine="472"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 xml:space="preserve">一、服务项目 </w:t>
      </w:r>
    </w:p>
    <w:p>
      <w:pPr>
        <w:widowControl/>
        <w:adjustRightInd w:val="0"/>
        <w:snapToGrid w:val="0"/>
        <w:spacing w:line="360" w:lineRule="auto"/>
        <w:ind w:firstLine="472"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 xml:space="preserve">1.项目名称： </w:t>
      </w:r>
      <w:r>
        <w:rPr>
          <w:rFonts w:hint="eastAsia" w:asciiTheme="minorEastAsia" w:hAnsiTheme="minorEastAsia" w:eastAsiaTheme="minorEastAsia" w:cstheme="minorEastAsia"/>
          <w:kern w:val="0"/>
          <w:sz w:val="24"/>
          <w:highlight w:val="none"/>
          <w:u w:val="single"/>
        </w:rPr>
        <w:t xml:space="preserve">    2024年临江公司***采购项目</w:t>
      </w:r>
    </w:p>
    <w:p>
      <w:pPr>
        <w:widowControl/>
        <w:adjustRightInd w:val="0"/>
        <w:snapToGrid w:val="0"/>
        <w:spacing w:line="360" w:lineRule="auto"/>
        <w:ind w:firstLine="472"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kern w:val="0"/>
          <w:sz w:val="24"/>
          <w:highlight w:val="none"/>
        </w:rPr>
        <w:t xml:space="preserve">2.项目地址：位于浙江省杭州钱塘区临江街道杭州临江环境能源有限公司厂区内。 </w:t>
      </w:r>
    </w:p>
    <w:p>
      <w:pPr>
        <w:adjustRightInd w:val="0"/>
        <w:snapToGrid w:val="0"/>
        <w:spacing w:line="360" w:lineRule="auto"/>
        <w:ind w:firstLine="590" w:firstLineChars="25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二、甲方职责</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甲方对乙方资质进行审查，确保符合要求，并为乙方正常服务场所工作提供便利，项目实施前就各实施区域的现状及周边情况向乙方进行交底。如：实施项目周边的电缆线、消防管道及排水沟及周边车辆行驶情况等。</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2.为本项目指定专人负责具体的联系沟通工作。</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3.做好与本项目有关的其他各级单位的沟通协调工作。</w:t>
      </w:r>
    </w:p>
    <w:p>
      <w:pPr>
        <w:adjustRightInd w:val="0"/>
        <w:snapToGrid w:val="0"/>
        <w:spacing w:line="360" w:lineRule="auto"/>
        <w:ind w:firstLine="472" w:firstLineChars="20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三、乙方职责</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1.乙方应落实安全管理人员和安全管理措施。</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2.乙方在项目服务期间，必须对工作人员进行安全生产教育，落实安全技术交底工作，确保各类专业技术人员持证上岗。</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3.乙方应遵守甲方相关的安全生产管理制度，在禁烟区内严禁吸烟以及擅自动用各类明火（动用需经审批），并在现场设置灭火器材及警示标识。</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4.乙方在项目服务期间应严格按照用电规范要求，严禁私拉乱接电线，各类电器、照明设备必须使用防爆产品或设置防爆装置。</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5.乙方内部要建立安全生产检查制度、落实自查自检，按“定人、定时间、定措施”的隐患整改原则，消除现场不安全因素。</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6．安全、规范、文明、科学作业，不损坏甲方的地上地下各类设施，确保项目实施区域安全有序。</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7.接受甲方的监督检查。</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b/>
          <w:sz w:val="24"/>
          <w:highlight w:val="none"/>
        </w:rPr>
        <w:t>四、违约责任</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1.在项目服务过程中，乙方必须做到安全生产，并服从甲方管理人员的调度指挥，有下列行为的，乙方扣罚履约保证金500-1000元/次：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1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①</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不服从甲方指挥，强令冒险作业；</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2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②</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未按要求参加甲方组织的各项安全检查、会议活动；</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3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③</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工作人员在禁烟区擅自动火、吸烟；</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4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④</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工作人员未按规定穿戴劳动防护用品，经劝说不听或不服从管理的；</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5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⑤</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项目服务过程造成环境影响。</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2.乙方在项目服务过程中有下列行为的，扣罚履约保证金5000元/次：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1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①</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由于乙方原因造成甲方被主管单位、新闻媒体、12345公开电话投诉或其他上级有关部门书面警告等通报批评的；</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fldChar w:fldCharType="begin"/>
      </w:r>
      <w:r>
        <w:rPr>
          <w:rFonts w:hint="eastAsia" w:asciiTheme="minorEastAsia" w:hAnsiTheme="minorEastAsia" w:eastAsiaTheme="minorEastAsia" w:cstheme="minorEastAsia"/>
          <w:sz w:val="24"/>
          <w:highlight w:val="none"/>
        </w:rPr>
        <w:instrText xml:space="preserve"> = 2 \* GB3 </w:instrText>
      </w:r>
      <w:r>
        <w:rPr>
          <w:rFonts w:hint="eastAsia" w:asciiTheme="minorEastAsia" w:hAnsiTheme="minorEastAsia" w:eastAsiaTheme="minorEastAsia" w:cstheme="minorEastAsia"/>
          <w:sz w:val="24"/>
          <w:highlight w:val="none"/>
        </w:rPr>
        <w:fldChar w:fldCharType="separate"/>
      </w:r>
      <w:r>
        <w:rPr>
          <w:rFonts w:hint="eastAsia" w:asciiTheme="minorEastAsia" w:hAnsiTheme="minorEastAsia" w:eastAsiaTheme="minorEastAsia" w:cstheme="minorEastAsia"/>
          <w:sz w:val="24"/>
          <w:highlight w:val="none"/>
        </w:rPr>
        <w:t>②</w:t>
      </w:r>
      <w:r>
        <w:rPr>
          <w:rFonts w:hint="eastAsia" w:asciiTheme="minorEastAsia" w:hAnsiTheme="minorEastAsia" w:eastAsiaTheme="minorEastAsia" w:cstheme="minorEastAsia"/>
          <w:sz w:val="24"/>
          <w:highlight w:val="none"/>
        </w:rPr>
        <w:fldChar w:fldCharType="end"/>
      </w:r>
      <w:r>
        <w:rPr>
          <w:rFonts w:hint="eastAsia" w:asciiTheme="minorEastAsia" w:hAnsiTheme="minorEastAsia" w:eastAsiaTheme="minorEastAsia" w:cstheme="minorEastAsia"/>
          <w:sz w:val="24"/>
          <w:highlight w:val="none"/>
        </w:rPr>
        <w:t>乙方未履行职责，经甲方三次书面警告的，进行停业整顿的，每次停业整顿。</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3.乙方项目服务人员无证驾驶车辆（设备）、特殊工种无证上岗、消防器材配置缺损已提醒二十四小时无改进措施等现象，扣罚保证金2000元/人·次。</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4.乙方在项目服务过程中，对甲方的设施、绿化道路造成影响，乙方应按甲方要求及时进行原貌恢复或清理，如乙方未能及时进行处理的，甲方有权委托相关部门执行，相应费用在乙方履约保证金中扣除。</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6.发生紧急情况，乙方应及时向上级主管和甲方报告，同时向相关领导或值班人员汇报。如发生人员伤亡应迅速抢救伤员，并在第一时间送往就近医院。</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7.在项目服务期间，乙方发生的安全事故以及造成的人员或财产损失由乙方全额负责。</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8.其他违反甲方相关安全规章制度的现象，根据违规情况每次酌情扣罚履约保证金200—1000元。</w:t>
      </w:r>
    </w:p>
    <w:p>
      <w:pPr>
        <w:adjustRightInd w:val="0"/>
        <w:snapToGrid w:val="0"/>
        <w:spacing w:line="360" w:lineRule="auto"/>
        <w:ind w:firstLine="472" w:firstLineChars="200"/>
        <w:rPr>
          <w:rFonts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五、其他</w:t>
      </w:r>
    </w:p>
    <w:p>
      <w:pPr>
        <w:widowControl/>
        <w:adjustRightInd w:val="0"/>
        <w:snapToGrid w:val="0"/>
        <w:spacing w:line="360" w:lineRule="auto"/>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本协议有效期为双方签署之日起至双方权利义务履行完毕为止。有效期内发生的违约事实，有效期后发现的适用本协议。</w:t>
      </w:r>
    </w:p>
    <w:p>
      <w:pPr>
        <w:pStyle w:val="54"/>
        <w:ind w:left="0" w:leftChars="0" w:firstLine="0" w:firstLineChars="0"/>
        <w:jc w:val="center"/>
        <w:rPr>
          <w:rFonts w:asciiTheme="minorEastAsia" w:hAnsiTheme="minorEastAsia" w:eastAsiaTheme="minorEastAsia" w:cstheme="minorEastAsia"/>
          <w:b/>
          <w:szCs w:val="24"/>
          <w:highlight w:val="none"/>
        </w:rPr>
      </w:pPr>
      <w:r>
        <w:rPr>
          <w:rFonts w:hint="eastAsia" w:asciiTheme="minorEastAsia" w:hAnsiTheme="minorEastAsia" w:eastAsiaTheme="minorEastAsia" w:cstheme="minorEastAsia"/>
          <w:b/>
          <w:szCs w:val="24"/>
          <w:highlight w:val="none"/>
        </w:rPr>
        <w:br w:type="page"/>
      </w:r>
      <w:r>
        <w:rPr>
          <w:rFonts w:hint="eastAsia" w:asciiTheme="minorEastAsia" w:hAnsiTheme="minorEastAsia" w:eastAsiaTheme="minorEastAsia" w:cstheme="minorEastAsia"/>
          <w:b/>
          <w:szCs w:val="24"/>
          <w:highlight w:val="none"/>
        </w:rPr>
        <w:t>第五章 廉洁协议</w:t>
      </w:r>
    </w:p>
    <w:p>
      <w:pPr>
        <w:pStyle w:val="11"/>
        <w:snapToGrid w:val="0"/>
        <w:ind w:firstLine="0"/>
        <w:rPr>
          <w:rFonts w:hint="default" w:asciiTheme="minorEastAsia" w:hAnsiTheme="minorEastAsia" w:eastAsiaTheme="minorEastAsia" w:cstheme="minorEastAsia"/>
          <w:szCs w:val="24"/>
          <w:highlight w:val="none"/>
        </w:rPr>
      </w:pPr>
    </w:p>
    <w:p>
      <w:pPr>
        <w:adjustRightInd w:val="0"/>
        <w:snapToGrid w:val="0"/>
        <w:spacing w:line="360" w:lineRule="auto"/>
        <w:ind w:left="1" w:right="77" w:firstLine="426"/>
        <w:rPr>
          <w:rFonts w:asciiTheme="minorEastAsia" w:hAnsiTheme="minorEastAsia" w:eastAsiaTheme="minorEastAsia" w:cstheme="minorEastAsia"/>
          <w:sz w:val="24"/>
          <w:highlight w:val="none"/>
          <w:u w:val="single"/>
        </w:rPr>
      </w:pPr>
      <w:r>
        <w:rPr>
          <w:rFonts w:hint="eastAsia" w:asciiTheme="minorEastAsia" w:hAnsiTheme="minorEastAsia" w:eastAsiaTheme="minorEastAsia" w:cstheme="minorEastAsia"/>
          <w:sz w:val="24"/>
          <w:highlight w:val="none"/>
        </w:rPr>
        <w:t>甲方：</w:t>
      </w:r>
      <w:r>
        <w:rPr>
          <w:rFonts w:hint="eastAsia" w:asciiTheme="minorEastAsia" w:hAnsiTheme="minorEastAsia" w:eastAsiaTheme="minorEastAsia" w:cstheme="minorEastAsia"/>
          <w:sz w:val="24"/>
          <w:highlight w:val="none"/>
          <w:u w:val="single"/>
        </w:rPr>
        <w:t>杭州临江环境能源有限公司</w:t>
      </w:r>
    </w:p>
    <w:p>
      <w:pPr>
        <w:adjustRightInd w:val="0"/>
        <w:snapToGrid w:val="0"/>
        <w:spacing w:line="360" w:lineRule="auto"/>
        <w:ind w:left="1" w:right="77" w:firstLine="426"/>
        <w:rPr>
          <w:rFonts w:asciiTheme="minorEastAsia" w:hAnsiTheme="minorEastAsia" w:eastAsiaTheme="minorEastAsia" w:cstheme="minorEastAsia"/>
          <w:sz w:val="24"/>
          <w:highlight w:val="none"/>
          <w:u w:val="single"/>
        </w:rPr>
      </w:pPr>
      <w:r>
        <w:rPr>
          <w:rFonts w:hint="eastAsia" w:asciiTheme="minorEastAsia" w:hAnsiTheme="minorEastAsia" w:eastAsiaTheme="minorEastAsia" w:cstheme="minorEastAsia"/>
          <w:sz w:val="24"/>
          <w:highlight w:val="none"/>
        </w:rPr>
        <w:t>乙方：</w:t>
      </w:r>
      <w:r>
        <w:rPr>
          <w:rFonts w:hint="eastAsia" w:asciiTheme="minorEastAsia" w:hAnsiTheme="minorEastAsia" w:eastAsiaTheme="minorEastAsia" w:cstheme="minorEastAsia"/>
          <w:sz w:val="24"/>
          <w:highlight w:val="none"/>
          <w:u w:val="single"/>
        </w:rPr>
        <w:t xml:space="preserve">  ***有限公司 </w:t>
      </w:r>
    </w:p>
    <w:p>
      <w:pPr>
        <w:adjustRightInd w:val="0"/>
        <w:snapToGrid w:val="0"/>
        <w:spacing w:line="360" w:lineRule="auto"/>
        <w:ind w:left="1" w:right="77" w:firstLine="42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napToGrid w:val="0"/>
        <w:spacing w:line="360" w:lineRule="auto"/>
        <w:ind w:firstLine="479" w:firstLineChars="203"/>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一、甲、乙双方约定</w:t>
      </w:r>
    </w:p>
    <w:p>
      <w:pPr>
        <w:adjustRightInd w:val="0"/>
        <w:snapToGrid w:val="0"/>
        <w:spacing w:line="360" w:lineRule="auto"/>
        <w:ind w:right="115"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1.甲、乙双方应共同严格遵守国家和省市以及采购人主管部门关于市场准入、项目招标投标、市场经济活动等有关法律法规和相关政策，以及项目廉政建设的各项规定。</w:t>
      </w:r>
    </w:p>
    <w:p>
      <w:pPr>
        <w:adjustRightInd w:val="0"/>
        <w:snapToGrid w:val="0"/>
        <w:spacing w:line="360" w:lineRule="auto"/>
        <w:ind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2.甲、乙双方应认真执行双方签订的合同文件，  自觉按合同约定履行责任。</w:t>
      </w:r>
    </w:p>
    <w:p>
      <w:pPr>
        <w:adjustRightInd w:val="0"/>
        <w:snapToGrid w:val="0"/>
        <w:spacing w:line="360" w:lineRule="auto"/>
        <w:ind w:left="4" w:right="77"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3.甲、乙双方的业务活动必须坚持公开、公平、公正、诚信、透明的原则（除法律法规另有规定者外）。不得为获取不正当的利益，损害国家、集体和对方利益；不得违反管理相关规章制度。</w:t>
      </w:r>
    </w:p>
    <w:p>
      <w:pPr>
        <w:adjustRightInd w:val="0"/>
        <w:snapToGrid w:val="0"/>
        <w:spacing w:line="360" w:lineRule="auto"/>
        <w:ind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4.甲、乙双方有对本方人员开展廉政告知、廉政教育和职业道德教育的义务。</w:t>
      </w:r>
    </w:p>
    <w:p>
      <w:pPr>
        <w:adjustRightInd w:val="0"/>
        <w:snapToGrid w:val="0"/>
        <w:spacing w:line="360" w:lineRule="auto"/>
        <w:ind w:left="3" w:right="77"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5.甲、乙双方应加强对本方人员廉政监督，建立健全廉政制度，认真严肃查处本方人员违法违纪行为。</w:t>
      </w:r>
    </w:p>
    <w:p>
      <w:pPr>
        <w:adjustRightInd w:val="0"/>
        <w:snapToGrid w:val="0"/>
        <w:spacing w:line="360" w:lineRule="auto"/>
        <w:ind w:right="77"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6.甲、乙双方如发现对方人员在业务活动中有违规、违纪、违法行为的，应及时提醒对方并督促其纠正，或直接向对方法定代表人、纪检监察部门及检察机关如实反映情况。</w:t>
      </w:r>
    </w:p>
    <w:p>
      <w:pPr>
        <w:adjustRightInd w:val="0"/>
        <w:snapToGrid w:val="0"/>
        <w:spacing w:line="360" w:lineRule="auto"/>
        <w:ind w:firstLine="479" w:firstLineChars="203"/>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二、甲方（含甲方人员）廉政责任</w:t>
      </w:r>
    </w:p>
    <w:p>
      <w:pPr>
        <w:adjustRightInd w:val="0"/>
        <w:snapToGrid w:val="0"/>
        <w:spacing w:line="360" w:lineRule="auto"/>
        <w:ind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1.不得接受乙方或向乙方索取或以借用为名占用乙方的任何财物；不得接受乙方的礼金、</w:t>
      </w:r>
    </w:p>
    <w:p>
      <w:pPr>
        <w:adjustRightInd w:val="0"/>
        <w:snapToGrid w:val="0"/>
        <w:spacing w:line="360" w:lineRule="auto"/>
        <w:ind w:left="4" w:hanging="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礼品和各种有价证券、支付凭证及其他贵重物品；不得接受乙方的以任何名义支付的回扣、好处费、感谢费或其他经济利益。</w:t>
      </w:r>
    </w:p>
    <w:p>
      <w:pPr>
        <w:adjustRightInd w:val="0"/>
        <w:snapToGrid w:val="0"/>
        <w:spacing w:line="360" w:lineRule="auto"/>
        <w:ind w:right="77"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snapToGrid w:val="0"/>
        <w:spacing w:line="360" w:lineRule="auto"/>
        <w:ind w:left="1" w:right="77"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3.不得利用职务便利向乙方介绍或指定工程分包单位（或个人）、物资供应商；不得利用职务便利向乙方推销或指定使用物资设备等。</w:t>
      </w:r>
    </w:p>
    <w:p>
      <w:pPr>
        <w:adjustRightInd w:val="0"/>
        <w:snapToGrid w:val="0"/>
        <w:spacing w:line="360" w:lineRule="auto"/>
        <w:ind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4.不得接受乙方购置的或长期提供的通信工具、交通工具等。</w:t>
      </w:r>
    </w:p>
    <w:p>
      <w:pPr>
        <w:adjustRightInd w:val="0"/>
        <w:snapToGrid w:val="0"/>
        <w:spacing w:line="360" w:lineRule="auto"/>
        <w:ind w:left="1" w:right="77"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5.对无法拒绝的乙方及其个人所送的钱物，受礼者自收受之日起一个月内上交至甲方监察审计部门。</w:t>
      </w:r>
    </w:p>
    <w:p>
      <w:pPr>
        <w:adjustRightInd w:val="0"/>
        <w:snapToGrid w:val="0"/>
        <w:spacing w:line="360" w:lineRule="auto"/>
        <w:ind w:left="366" w:leftChars="116" w:right="3503" w:firstLine="468" w:firstLineChars="198"/>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6.对乙方提供的有关信息，应及时调查处理并反馈结果。</w:t>
      </w:r>
    </w:p>
    <w:p>
      <w:pPr>
        <w:adjustRightInd w:val="0"/>
        <w:snapToGrid w:val="0"/>
        <w:spacing w:line="360" w:lineRule="auto"/>
        <w:ind w:left="366" w:leftChars="116" w:right="3503" w:firstLine="468" w:firstLineChars="198"/>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三、乙方（含乙方人员）廉政责任</w:t>
      </w:r>
    </w:p>
    <w:p>
      <w:pPr>
        <w:adjustRightInd w:val="0"/>
        <w:snapToGrid w:val="0"/>
        <w:spacing w:line="360" w:lineRule="auto"/>
        <w:ind w:right="77"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1.不得以任何形式向甲方行贿；不得向甲方送礼金、礼品和各种有价证券、支付凭证及其他贵重物品；不得以任何名义向甲方及其工作人员支付回扣、好处费、感谢费或其他经济利益。</w:t>
      </w:r>
    </w:p>
    <w:p>
      <w:pPr>
        <w:adjustRightInd w:val="0"/>
        <w:snapToGrid w:val="0"/>
        <w:spacing w:line="360" w:lineRule="auto"/>
        <w:ind w:left="3"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napToGrid w:val="0"/>
        <w:spacing w:line="360" w:lineRule="auto"/>
        <w:ind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3.不得接受甲方介绍或指定的工程分包单位和物资供应商；不得接受甲方推销或指定使用的物资设备。</w:t>
      </w:r>
    </w:p>
    <w:p>
      <w:pPr>
        <w:adjustRightInd w:val="0"/>
        <w:snapToGrid w:val="0"/>
        <w:spacing w:line="360" w:lineRule="auto"/>
        <w:ind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4.不得以任何理由为甲方及其工作人员购置或长期提供通信工具、交通工具等。</w:t>
      </w:r>
    </w:p>
    <w:p>
      <w:pPr>
        <w:adjustRightInd w:val="0"/>
        <w:snapToGrid w:val="0"/>
        <w:spacing w:line="360" w:lineRule="auto"/>
        <w:ind w:left="3"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5.对甲方及其个人索要钱物、介绍或指定工程分包单位和物资供应商、推销或指定使用物资设备、借用占用车辆等行为予以拒绝，并及时主动向乙方上级纪检监察组织报告。</w:t>
      </w:r>
    </w:p>
    <w:p>
      <w:pPr>
        <w:adjustRightInd w:val="0"/>
        <w:snapToGrid w:val="0"/>
        <w:spacing w:line="360" w:lineRule="auto"/>
        <w:ind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6.对甲方提供的乙方（含乙方人员）违纪违规有关信息，应及时调查处理并反馈结果。</w:t>
      </w:r>
    </w:p>
    <w:p>
      <w:pPr>
        <w:adjustRightInd w:val="0"/>
        <w:snapToGrid w:val="0"/>
        <w:spacing w:line="360" w:lineRule="auto"/>
        <w:ind w:left="3"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7.乙方不得以任何理由为甲方及其工作人员组织有可能影响公正执行公务的宴请和各类休闲娱乐等活动。</w:t>
      </w:r>
    </w:p>
    <w:p>
      <w:pPr>
        <w:adjustRightInd w:val="0"/>
        <w:snapToGrid w:val="0"/>
        <w:spacing w:line="360" w:lineRule="auto"/>
        <w:ind w:left="366" w:leftChars="116" w:right="90" w:firstLine="468" w:firstLineChars="198"/>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8.乙方及其工作人员必须严格按照有关规程办事，不得与其他单位互相串通，损害甲方利益。</w:t>
      </w:r>
    </w:p>
    <w:p>
      <w:pPr>
        <w:adjustRightInd w:val="0"/>
        <w:snapToGrid w:val="0"/>
        <w:spacing w:line="360" w:lineRule="auto"/>
        <w:ind w:left="366" w:leftChars="116" w:right="90" w:firstLine="468" w:firstLineChars="198"/>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四、违约责任</w:t>
      </w:r>
    </w:p>
    <w:p>
      <w:pPr>
        <w:adjustRightInd w:val="0"/>
        <w:snapToGrid w:val="0"/>
        <w:spacing w:line="360" w:lineRule="auto"/>
        <w:ind w:left="3" w:right="24" w:firstLine="498" w:firstLineChars="21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甲乙双方不履行各自义务，构成犯罪和违纪的，由司法机关和有关纪检监察部门按管辖依法依纪处理，所认定的事实和处理结果作为承担下列约定违约责任的依据。</w:t>
      </w:r>
    </w:p>
    <w:p>
      <w:pPr>
        <w:adjustRightInd w:val="0"/>
        <w:snapToGrid w:val="0"/>
        <w:spacing w:line="360" w:lineRule="auto"/>
        <w:ind w:left="4"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napToGrid w:val="0"/>
        <w:spacing w:line="360" w:lineRule="auto"/>
        <w:ind w:left="3"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2.乙方贿赂甲方人员的，被纪检监察部门或检察机关立案查处的，甲方有权终止项目合同，由此造成甲方的损失以及一切费用均由乙方承担。</w:t>
      </w:r>
    </w:p>
    <w:p>
      <w:pPr>
        <w:adjustRightInd w:val="0"/>
        <w:snapToGrid w:val="0"/>
        <w:spacing w:line="360" w:lineRule="auto"/>
        <w:ind w:left="3"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3.甲方双方不履行协议约定义务的，应将责任人调离本项目并按规定予以处理，且双方有义务将有关责任人的责任追究情况通报对方。</w:t>
      </w:r>
    </w:p>
    <w:p>
      <w:pPr>
        <w:adjustRightInd w:val="0"/>
        <w:snapToGrid w:val="0"/>
        <w:spacing w:line="360" w:lineRule="auto"/>
        <w:ind w:left="5"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4.甲乙双方自觉履行本协议并互相监督，一方不履行协议的，另一方有权利和义务进行举报。一方主动举报另一方，举报方不承担上述约定的违约责任，全部由被举报方承担，但不免除各自应负的法纪责任。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napToGrid w:val="0"/>
        <w:spacing w:line="360" w:lineRule="auto"/>
        <w:ind w:firstLine="474" w:firstLineChars="201"/>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5.由于甲乙双方单位或工作人员个人行为造成违约的，双方承担上述违约责任。</w:t>
      </w:r>
    </w:p>
    <w:p>
      <w:pPr>
        <w:adjustRightInd w:val="0"/>
        <w:snapToGrid w:val="0"/>
        <w:spacing w:line="360" w:lineRule="auto"/>
        <w:ind w:left="3" w:right="24" w:firstLine="472"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6.甲乙双方在履行协议中发生争议，一方有权向对方上级单位主管部门和纪检监察部门反映情况并要求帮助解决争议。</w:t>
      </w:r>
    </w:p>
    <w:p>
      <w:pPr>
        <w:adjustRightInd w:val="0"/>
        <w:snapToGrid w:val="0"/>
        <w:spacing w:line="360" w:lineRule="auto"/>
        <w:ind w:firstLine="481" w:firstLineChars="204"/>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五、有效期</w:t>
      </w:r>
    </w:p>
    <w:p>
      <w:pPr>
        <w:adjustRightInd w:val="0"/>
        <w:snapToGrid w:val="0"/>
        <w:spacing w:line="360" w:lineRule="auto"/>
        <w:ind w:firstLine="481" w:firstLineChars="204"/>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本协议有效期为双方签署之日起至双方权利义务履行完毕为止。有效期内发生的违约事实，有效期后发现的适用本协议。</w:t>
      </w:r>
    </w:p>
    <w:p>
      <w:pPr>
        <w:adjustRightInd w:val="0"/>
        <w:snapToGrid w:val="0"/>
        <w:spacing w:line="360" w:lineRule="auto"/>
        <w:ind w:firstLine="32"/>
        <w:rPr>
          <w:rFonts w:asciiTheme="minorEastAsia" w:hAnsiTheme="minorEastAsia" w:eastAsiaTheme="minorEastAsia" w:cstheme="minorEastAsia"/>
          <w:sz w:val="24"/>
          <w:highlight w:val="none"/>
        </w:rPr>
      </w:pPr>
    </w:p>
    <w:p>
      <w:pPr>
        <w:adjustRightInd w:val="0"/>
        <w:snapToGrid w:val="0"/>
        <w:spacing w:line="360" w:lineRule="auto"/>
        <w:rPr>
          <w:rFonts w:asciiTheme="minorEastAsia" w:hAnsiTheme="minorEastAsia" w:eastAsiaTheme="minorEastAsia" w:cstheme="minorEastAsia"/>
          <w:sz w:val="24"/>
          <w:highlight w:val="none"/>
        </w:rPr>
      </w:pPr>
    </w:p>
    <w:p>
      <w:pPr>
        <w:adjustRightInd w:val="0"/>
        <w:snapToGrid w:val="0"/>
        <w:spacing w:line="360" w:lineRule="auto"/>
        <w:rPr>
          <w:rFonts w:asciiTheme="minorEastAsia" w:hAnsiTheme="minorEastAsia" w:eastAsiaTheme="minorEastAsia" w:cstheme="minorEastAsia"/>
          <w:sz w:val="24"/>
          <w:highlight w:val="none"/>
        </w:rPr>
      </w:pPr>
    </w:p>
    <w:p>
      <w:pPr>
        <w:pStyle w:val="8"/>
        <w:adjustRightInd w:val="0"/>
        <w:snapToGrid w:val="0"/>
        <w:spacing w:line="360" w:lineRule="auto"/>
        <w:rPr>
          <w:rFonts w:asciiTheme="minorEastAsia" w:hAnsiTheme="minorEastAsia" w:eastAsiaTheme="minorEastAsia" w:cstheme="minorEastAsia"/>
          <w:sz w:val="24"/>
          <w:szCs w:val="24"/>
          <w:highlight w:val="none"/>
        </w:rPr>
      </w:pPr>
    </w:p>
    <w:p>
      <w:pPr>
        <w:pStyle w:val="8"/>
        <w:adjustRightInd w:val="0"/>
        <w:snapToGrid w:val="0"/>
        <w:spacing w:line="360" w:lineRule="auto"/>
        <w:rPr>
          <w:rFonts w:asciiTheme="minorEastAsia" w:hAnsiTheme="minorEastAsia" w:eastAsiaTheme="minorEastAsia" w:cstheme="minorEastAsia"/>
          <w:sz w:val="24"/>
          <w:szCs w:val="24"/>
          <w:highlight w:val="none"/>
        </w:rPr>
      </w:pPr>
    </w:p>
    <w:p>
      <w:pPr>
        <w:adjustRightInd w:val="0"/>
        <w:snapToGrid w:val="0"/>
        <w:spacing w:line="360" w:lineRule="auto"/>
        <w:ind w:right="341" w:rightChars="108"/>
        <w:rPr>
          <w:rFonts w:asciiTheme="minorEastAsia" w:hAnsiTheme="minorEastAsia" w:eastAsiaTheme="minorEastAsia" w:cstheme="minorEastAsia"/>
          <w:sz w:val="24"/>
          <w:highlight w:val="none"/>
        </w:rPr>
      </w:pPr>
    </w:p>
    <w:sectPr>
      <w:pgSz w:w="11906" w:h="16838"/>
      <w:pgMar w:top="2098" w:right="1274" w:bottom="1984" w:left="1587" w:header="851" w:footer="737" w:gutter="0"/>
      <w:cols w:space="0" w:num="1"/>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78B2B00-39E5-4D56-9DC4-ED182A3A3B71}"/>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490FE13-A47A-4BC5-BC04-64F1D34C1DBB}"/>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昆仑楷体">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embedRegular r:id="rId3" w:fontKey="{034B58D9-B3F5-4786-8393-F363D76343FE}"/>
  </w:font>
  <w:font w:name="仿宋">
    <w:panose1 w:val="02010609060101010101"/>
    <w:charset w:val="86"/>
    <w:family w:val="modern"/>
    <w:pitch w:val="default"/>
    <w:sig w:usb0="800002BF" w:usb1="38CF7CFA" w:usb2="00000016" w:usb3="00000000" w:csb0="00040001" w:csb1="00000000"/>
    <w:embedRegular r:id="rId4" w:fontKey="{8B59AD33-5DC4-4ABC-B9E3-5CC6AE2B44D9}"/>
  </w:font>
  <w:font w:name="Segoe UI Emoji">
    <w:panose1 w:val="020B0502040204020203"/>
    <w:charset w:val="00"/>
    <w:family w:val="swiss"/>
    <w:pitch w:val="default"/>
    <w:sig w:usb0="00000001" w:usb1="02000000" w:usb2="08000000" w:usb3="00000000" w:csb0="00000001" w:csb1="00000000"/>
    <w:embedRegular r:id="rId5" w:fontKey="{5BF3A81F-C4E3-4CB7-A14E-100949676463}"/>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6"/>
          <w:ind w:firstLine="4500" w:firstLineChars="2500"/>
        </w:pPr>
        <w:r>
          <w:fldChar w:fldCharType="begin"/>
        </w:r>
        <w:r>
          <w:instrText xml:space="preserve">PAGE   \* MERGEFORMAT</w:instrText>
        </w:r>
        <w:r>
          <w:fldChar w:fldCharType="separate"/>
        </w:r>
        <w:r>
          <w:rPr>
            <w:lang w:val="zh-CN"/>
          </w:rPr>
          <w:t>33</w:t>
        </w:r>
        <w:r>
          <w:rPr>
            <w:lang w:val="zh-CN"/>
          </w:rPr>
          <w:fldChar w:fldCharType="end"/>
        </w:r>
      </w:p>
    </w:sdtContent>
  </w:sdt>
  <w:p>
    <w:pPr>
      <w:pStyle w:val="16"/>
      <w:tabs>
        <w:tab w:val="center" w:pos="4873"/>
        <w:tab w:val="clear" w:pos="4153"/>
        <w:tab w:val="clear" w:pos="8306"/>
      </w:tabs>
      <w:ind w:firstLine="5040" w:firstLineChars="28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092355"/>
    </w:sdtPr>
    <w:sdtContent>
      <w:p>
        <w:pPr>
          <w:pStyle w:val="16"/>
        </w:pPr>
        <w:r>
          <w:fldChar w:fldCharType="begin"/>
        </w:r>
        <w:r>
          <w:instrText xml:space="preserve">PAGE   \* MERGEFORMAT</w:instrText>
        </w:r>
        <w:r>
          <w:fldChar w:fldCharType="separate"/>
        </w:r>
        <w:r>
          <w:rPr>
            <w:lang w:val="zh-CN"/>
          </w:rPr>
          <w:t>2</w:t>
        </w:r>
        <w:r>
          <w:rPr>
            <w:lang w:val="zh-CN"/>
          </w:rPr>
          <w:fldChar w:fldCharType="end"/>
        </w:r>
      </w:p>
    </w:sdtContent>
  </w:sdt>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0950518"/>
    </w:sdtPr>
    <w:sdtContent>
      <w:p>
        <w:pPr>
          <w:pStyle w:val="16"/>
          <w:ind w:firstLine="4500" w:firstLineChars="2500"/>
        </w:pPr>
        <w:r>
          <w:fldChar w:fldCharType="begin"/>
        </w:r>
        <w:r>
          <w:instrText xml:space="preserve">PAGE   \* MERGEFORMAT</w:instrText>
        </w:r>
        <w:r>
          <w:fldChar w:fldCharType="separate"/>
        </w:r>
        <w:r>
          <w:rPr>
            <w:lang w:val="zh-CN"/>
          </w:rPr>
          <w:t>73</w:t>
        </w:r>
        <w:r>
          <w:rPr>
            <w:lang w:val="zh-CN"/>
          </w:rPr>
          <w:fldChar w:fldCharType="end"/>
        </w:r>
      </w:p>
    </w:sdtContent>
  </w:sdt>
  <w:p>
    <w:pPr>
      <w:pStyle w:val="16"/>
      <w:tabs>
        <w:tab w:val="center" w:pos="4873"/>
        <w:tab w:val="clear" w:pos="4153"/>
        <w:tab w:val="clear" w:pos="8306"/>
      </w:tabs>
      <w:ind w:firstLine="5040" w:firstLineChars="280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1334771"/>
    </w:sdtPr>
    <w:sdtContent>
      <w:p>
        <w:pPr>
          <w:pStyle w:val="16"/>
          <w:ind w:firstLine="3600" w:firstLineChars="2000"/>
        </w:pPr>
        <w:r>
          <w:fldChar w:fldCharType="begin"/>
        </w:r>
        <w:r>
          <w:instrText xml:space="preserve">PAGE   \* MERGEFORMAT</w:instrText>
        </w:r>
        <w:r>
          <w:fldChar w:fldCharType="separate"/>
        </w:r>
        <w:r>
          <w:rPr>
            <w:lang w:val="zh-CN"/>
          </w:rPr>
          <w:t>2</w:t>
        </w:r>
        <w:r>
          <w:rPr>
            <w:lang w:val="zh-CN"/>
          </w:rPr>
          <w:fldChar w:fldCharType="end"/>
        </w:r>
      </w:p>
    </w:sdtContent>
  </w:sdt>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pPr>
                          <w:r>
                            <w:fldChar w:fldCharType="begin"/>
                          </w:r>
                          <w:r>
                            <w:instrText xml:space="preserve"> PAGE  \* MERGEFORMAT </w:instrText>
                          </w:r>
                          <w:r>
                            <w:fldChar w:fldCharType="separate"/>
                          </w:r>
                          <w:r>
                            <w:t>115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115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46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both"/>
    </w:pPr>
  </w:p>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pict>
        <v:shape id="PowerPlusWaterMarkObject639917468" o:spid="_x0000_s1027" o:spt="136" type="#_x0000_t136" style="position:absolute;left:0pt;height:171.75pt;width:515.2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送审稿" style="font-family:等线;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atLeast"/>
      <w:rPr>
        <w:sz w:val="18"/>
        <w:szCs w:val="18"/>
      </w:rPr>
    </w:pPr>
    <w:r>
      <w:rPr>
        <w:sz w:val="18"/>
        <w:szCs w:val="18"/>
      </w:rPr>
      <w:drawing>
        <wp:inline distT="0" distB="0" distL="114300" distR="114300">
          <wp:extent cx="1185545" cy="277495"/>
          <wp:effectExtent l="0" t="0" r="3175" b="12065"/>
          <wp:docPr id="2" name="图片 2" descr="司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司徽"/>
                  <pic:cNvPicPr>
                    <a:picLocks noChangeAspect="1"/>
                  </pic:cNvPicPr>
                </pic:nvPicPr>
                <pic:blipFill>
                  <a:blip r:embed="rId1"/>
                  <a:stretch>
                    <a:fillRect/>
                  </a:stretch>
                </pic:blipFill>
                <pic:spPr>
                  <a:xfrm>
                    <a:off x="0" y="0"/>
                    <a:ext cx="1185545" cy="277495"/>
                  </a:xfrm>
                  <a:prstGeom prst="rect">
                    <a:avLst/>
                  </a:prstGeom>
                  <a:noFill/>
                  <a:ln>
                    <a:noFill/>
                  </a:ln>
                </pic:spPr>
              </pic:pic>
            </a:graphicData>
          </a:graphic>
        </wp:inline>
      </w:drawing>
    </w:r>
    <w:r>
      <w:rPr>
        <w:rFonts w:hint="eastAsia" w:ascii="宋体" w:hAnsi="宋体" w:cs="宋体"/>
        <w:bCs/>
        <w:sz w:val="15"/>
        <w:szCs w:val="15"/>
      </w:rPr>
      <w:t>桂林市山口生活垃圾焚烧发电工程汽轮发电机组设备采购招标文件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73F51"/>
    <w:multiLevelType w:val="singleLevel"/>
    <w:tmpl w:val="CAF73F51"/>
    <w:lvl w:ilvl="0" w:tentative="0">
      <w:start w:val="1"/>
      <w:numFmt w:val="decimal"/>
      <w:suff w:val="nothing"/>
      <w:lvlText w:val="（%1）"/>
      <w:lvlJc w:val="left"/>
    </w:lvl>
  </w:abstractNum>
  <w:abstractNum w:abstractNumId="1">
    <w:nsid w:val="DE55D1F8"/>
    <w:multiLevelType w:val="singleLevel"/>
    <w:tmpl w:val="DE55D1F8"/>
    <w:lvl w:ilvl="0" w:tentative="0">
      <w:start w:val="2"/>
      <w:numFmt w:val="decimal"/>
      <w:suff w:val="nothing"/>
      <w:lvlText w:val="%1、"/>
      <w:lvlJc w:val="left"/>
    </w:lvl>
  </w:abstractNum>
  <w:abstractNum w:abstractNumId="2">
    <w:nsid w:val="19B2B927"/>
    <w:multiLevelType w:val="singleLevel"/>
    <w:tmpl w:val="19B2B927"/>
    <w:lvl w:ilvl="0" w:tentative="0">
      <w:start w:val="1"/>
      <w:numFmt w:val="chineseCounting"/>
      <w:suff w:val="nothing"/>
      <w:lvlText w:val="%1、"/>
      <w:lvlJc w:val="left"/>
      <w:rPr>
        <w:rFonts w:hint="eastAsia"/>
      </w:rPr>
    </w:lvl>
  </w:abstractNum>
  <w:abstractNum w:abstractNumId="3">
    <w:nsid w:val="3C456B2E"/>
    <w:multiLevelType w:val="multilevel"/>
    <w:tmpl w:val="3C456B2E"/>
    <w:lvl w:ilvl="0" w:tentative="0">
      <w:start w:val="1"/>
      <w:numFmt w:val="decimal"/>
      <w:lvlText w:val="（%1）"/>
      <w:lvlJc w:val="left"/>
      <w:pPr>
        <w:ind w:left="900" w:hanging="420"/>
      </w:pPr>
    </w:lvl>
    <w:lvl w:ilvl="1" w:tentative="0">
      <w:start w:val="1"/>
      <w:numFmt w:val="decimal"/>
      <w:lvlText w:val="（%2）"/>
      <w:lvlJc w:val="left"/>
      <w:pPr>
        <w:ind w:left="0" w:firstLine="0"/>
      </w:pPr>
      <w:rPr>
        <w:rFonts w:hint="eastAsia"/>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580217F5"/>
    <w:multiLevelType w:val="multilevel"/>
    <w:tmpl w:val="580217F5"/>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B3A12A0"/>
    <w:multiLevelType w:val="multilevel"/>
    <w:tmpl w:val="5B3A12A0"/>
    <w:lvl w:ilvl="0" w:tentative="0">
      <w:start w:val="1"/>
      <w:numFmt w:val="decimal"/>
      <w:lvlText w:val="(%1)"/>
      <w:lvlJc w:val="left"/>
      <w:pPr>
        <w:tabs>
          <w:tab w:val="left" w:pos="-840"/>
        </w:tabs>
        <w:ind w:left="1050" w:hanging="420"/>
      </w:pPr>
      <w:rPr>
        <w:rFonts w:hint="default"/>
      </w:rPr>
    </w:lvl>
    <w:lvl w:ilvl="1" w:tentative="0">
      <w:start w:val="1"/>
      <w:numFmt w:val="decimal"/>
      <w:lvlText w:val="%2."/>
      <w:lvlJc w:val="left"/>
      <w:pPr>
        <w:tabs>
          <w:tab w:val="left" w:pos="-840"/>
        </w:tabs>
        <w:ind w:left="735" w:hanging="525"/>
      </w:pPr>
      <w:rPr>
        <w:rFonts w:hint="default"/>
      </w:rPr>
    </w:lvl>
    <w:lvl w:ilvl="2" w:tentative="0">
      <w:start w:val="1"/>
      <w:numFmt w:val="decimal"/>
      <w:lvlText w:val="%3)"/>
      <w:lvlJc w:val="left"/>
      <w:pPr>
        <w:tabs>
          <w:tab w:val="left" w:pos="-840"/>
        </w:tabs>
        <w:ind w:left="1050" w:hanging="420"/>
      </w:pPr>
      <w:rPr>
        <w:rFonts w:hint="default"/>
      </w:rPr>
    </w:lvl>
    <w:lvl w:ilvl="3" w:tentative="0">
      <w:start w:val="1"/>
      <w:numFmt w:val="decimal"/>
      <w:lvlText w:val="%4."/>
      <w:lvlJc w:val="left"/>
      <w:pPr>
        <w:tabs>
          <w:tab w:val="left" w:pos="-840"/>
        </w:tabs>
        <w:ind w:left="1470" w:hanging="420"/>
      </w:pPr>
    </w:lvl>
    <w:lvl w:ilvl="4" w:tentative="0">
      <w:start w:val="1"/>
      <w:numFmt w:val="lowerLetter"/>
      <w:lvlText w:val="%5)"/>
      <w:lvlJc w:val="left"/>
      <w:pPr>
        <w:tabs>
          <w:tab w:val="left" w:pos="-840"/>
        </w:tabs>
        <w:ind w:left="1890" w:hanging="420"/>
      </w:pPr>
    </w:lvl>
    <w:lvl w:ilvl="5" w:tentative="0">
      <w:start w:val="1"/>
      <w:numFmt w:val="lowerRoman"/>
      <w:lvlText w:val="%6."/>
      <w:lvlJc w:val="right"/>
      <w:pPr>
        <w:tabs>
          <w:tab w:val="left" w:pos="-840"/>
        </w:tabs>
        <w:ind w:left="2310" w:hanging="420"/>
      </w:pPr>
    </w:lvl>
    <w:lvl w:ilvl="6" w:tentative="0">
      <w:start w:val="1"/>
      <w:numFmt w:val="decimal"/>
      <w:lvlText w:val="%7."/>
      <w:lvlJc w:val="left"/>
      <w:pPr>
        <w:tabs>
          <w:tab w:val="left" w:pos="-840"/>
        </w:tabs>
        <w:ind w:left="2730" w:hanging="420"/>
      </w:pPr>
    </w:lvl>
    <w:lvl w:ilvl="7" w:tentative="0">
      <w:start w:val="1"/>
      <w:numFmt w:val="lowerLetter"/>
      <w:lvlText w:val="%8)"/>
      <w:lvlJc w:val="left"/>
      <w:pPr>
        <w:tabs>
          <w:tab w:val="left" w:pos="-840"/>
        </w:tabs>
        <w:ind w:left="3150" w:hanging="420"/>
      </w:pPr>
    </w:lvl>
    <w:lvl w:ilvl="8" w:tentative="0">
      <w:start w:val="1"/>
      <w:numFmt w:val="lowerRoman"/>
      <w:lvlText w:val="%9."/>
      <w:lvlJc w:val="right"/>
      <w:pPr>
        <w:tabs>
          <w:tab w:val="left" w:pos="-840"/>
        </w:tabs>
        <w:ind w:left="3570" w:hanging="420"/>
      </w:pPr>
    </w:lvl>
  </w:abstractNum>
  <w:num w:numId="1">
    <w:abstractNumId w:val="0"/>
  </w:num>
  <w:num w:numId="2">
    <w:abstractNumId w:val="5"/>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hideSpellingErrors/>
  <w:documentProtection w:enforcement="0"/>
  <w:defaultTabStop w:val="421"/>
  <w:drawingGridHorizontalSpacing w:val="158"/>
  <w:drawingGridVerticalSpacing w:val="295"/>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xYzBlMWM5MmQ4YTg5MjNmOTgyNWE1ODY2ZmJkNmIifQ=="/>
  </w:docVars>
  <w:rsids>
    <w:rsidRoot w:val="00BF63BC"/>
    <w:rsid w:val="000044E4"/>
    <w:rsid w:val="0002571C"/>
    <w:rsid w:val="00026716"/>
    <w:rsid w:val="00072C1B"/>
    <w:rsid w:val="000B450C"/>
    <w:rsid w:val="000C059B"/>
    <w:rsid w:val="000C6796"/>
    <w:rsid w:val="000E2F68"/>
    <w:rsid w:val="000F5FD6"/>
    <w:rsid w:val="001027DA"/>
    <w:rsid w:val="0010770E"/>
    <w:rsid w:val="0012728D"/>
    <w:rsid w:val="001309EB"/>
    <w:rsid w:val="00167721"/>
    <w:rsid w:val="001730BE"/>
    <w:rsid w:val="00175D72"/>
    <w:rsid w:val="00183A87"/>
    <w:rsid w:val="001C5666"/>
    <w:rsid w:val="001E090B"/>
    <w:rsid w:val="001F1E57"/>
    <w:rsid w:val="002143A9"/>
    <w:rsid w:val="0022322A"/>
    <w:rsid w:val="00224D4C"/>
    <w:rsid w:val="002369F3"/>
    <w:rsid w:val="00242A6C"/>
    <w:rsid w:val="00242DB9"/>
    <w:rsid w:val="002457D8"/>
    <w:rsid w:val="0024627A"/>
    <w:rsid w:val="00296009"/>
    <w:rsid w:val="002A1F6A"/>
    <w:rsid w:val="002B7FDC"/>
    <w:rsid w:val="002F7EAD"/>
    <w:rsid w:val="00322A80"/>
    <w:rsid w:val="00323009"/>
    <w:rsid w:val="00330FB1"/>
    <w:rsid w:val="0034355D"/>
    <w:rsid w:val="00346EEE"/>
    <w:rsid w:val="00377B20"/>
    <w:rsid w:val="00380781"/>
    <w:rsid w:val="003841A2"/>
    <w:rsid w:val="00392EA2"/>
    <w:rsid w:val="003C0E87"/>
    <w:rsid w:val="003C6E56"/>
    <w:rsid w:val="003E52C4"/>
    <w:rsid w:val="004433A1"/>
    <w:rsid w:val="00465323"/>
    <w:rsid w:val="00473AA8"/>
    <w:rsid w:val="00486EBC"/>
    <w:rsid w:val="004875AF"/>
    <w:rsid w:val="0049353B"/>
    <w:rsid w:val="004A53CE"/>
    <w:rsid w:val="004B1773"/>
    <w:rsid w:val="004D3EA3"/>
    <w:rsid w:val="004F31F7"/>
    <w:rsid w:val="00506486"/>
    <w:rsid w:val="00563D6C"/>
    <w:rsid w:val="00580F75"/>
    <w:rsid w:val="00586D1A"/>
    <w:rsid w:val="00593BF7"/>
    <w:rsid w:val="00594640"/>
    <w:rsid w:val="005B7432"/>
    <w:rsid w:val="005C05D5"/>
    <w:rsid w:val="005C0F01"/>
    <w:rsid w:val="005F1CA9"/>
    <w:rsid w:val="00602F91"/>
    <w:rsid w:val="00605308"/>
    <w:rsid w:val="00644025"/>
    <w:rsid w:val="006505E9"/>
    <w:rsid w:val="00651495"/>
    <w:rsid w:val="00656BF5"/>
    <w:rsid w:val="00663C8A"/>
    <w:rsid w:val="0066604A"/>
    <w:rsid w:val="00685978"/>
    <w:rsid w:val="006B56A9"/>
    <w:rsid w:val="006C73E7"/>
    <w:rsid w:val="00700F86"/>
    <w:rsid w:val="00704578"/>
    <w:rsid w:val="00712613"/>
    <w:rsid w:val="0078718C"/>
    <w:rsid w:val="007873A8"/>
    <w:rsid w:val="007A17FD"/>
    <w:rsid w:val="007A66E4"/>
    <w:rsid w:val="007B75B6"/>
    <w:rsid w:val="00803C11"/>
    <w:rsid w:val="00804C20"/>
    <w:rsid w:val="008300B4"/>
    <w:rsid w:val="00862A72"/>
    <w:rsid w:val="0086344A"/>
    <w:rsid w:val="0087028F"/>
    <w:rsid w:val="00895868"/>
    <w:rsid w:val="008A18D0"/>
    <w:rsid w:val="008C172E"/>
    <w:rsid w:val="008C19D5"/>
    <w:rsid w:val="008C3E4D"/>
    <w:rsid w:val="008F247B"/>
    <w:rsid w:val="008F2F33"/>
    <w:rsid w:val="00910A10"/>
    <w:rsid w:val="00957AD2"/>
    <w:rsid w:val="00962C69"/>
    <w:rsid w:val="00984078"/>
    <w:rsid w:val="009B1062"/>
    <w:rsid w:val="009D0CF9"/>
    <w:rsid w:val="009E6186"/>
    <w:rsid w:val="00A14D04"/>
    <w:rsid w:val="00A33C40"/>
    <w:rsid w:val="00A42871"/>
    <w:rsid w:val="00A465AA"/>
    <w:rsid w:val="00A646C7"/>
    <w:rsid w:val="00A82D3E"/>
    <w:rsid w:val="00A91512"/>
    <w:rsid w:val="00A91CE9"/>
    <w:rsid w:val="00AD023F"/>
    <w:rsid w:val="00AE34A7"/>
    <w:rsid w:val="00B41D47"/>
    <w:rsid w:val="00B655CF"/>
    <w:rsid w:val="00B77869"/>
    <w:rsid w:val="00B85EC1"/>
    <w:rsid w:val="00B92C78"/>
    <w:rsid w:val="00BA140D"/>
    <w:rsid w:val="00BD5186"/>
    <w:rsid w:val="00BE28AE"/>
    <w:rsid w:val="00BF5D9C"/>
    <w:rsid w:val="00BF63BC"/>
    <w:rsid w:val="00C03C6C"/>
    <w:rsid w:val="00C07BCE"/>
    <w:rsid w:val="00C1328C"/>
    <w:rsid w:val="00C3520F"/>
    <w:rsid w:val="00C41AAF"/>
    <w:rsid w:val="00C5284B"/>
    <w:rsid w:val="00C71649"/>
    <w:rsid w:val="00C82A89"/>
    <w:rsid w:val="00C92139"/>
    <w:rsid w:val="00CA62E5"/>
    <w:rsid w:val="00CC3FD9"/>
    <w:rsid w:val="00CD4558"/>
    <w:rsid w:val="00CF7B66"/>
    <w:rsid w:val="00CF7D06"/>
    <w:rsid w:val="00D005A8"/>
    <w:rsid w:val="00D26D7C"/>
    <w:rsid w:val="00D3488A"/>
    <w:rsid w:val="00D40900"/>
    <w:rsid w:val="00D410AE"/>
    <w:rsid w:val="00D479FB"/>
    <w:rsid w:val="00D51A83"/>
    <w:rsid w:val="00D53B45"/>
    <w:rsid w:val="00DB011D"/>
    <w:rsid w:val="00DC239E"/>
    <w:rsid w:val="00DC4986"/>
    <w:rsid w:val="00DD0B8F"/>
    <w:rsid w:val="00DD0C4D"/>
    <w:rsid w:val="00DD4FDE"/>
    <w:rsid w:val="00DD6DF1"/>
    <w:rsid w:val="00DE4C29"/>
    <w:rsid w:val="00DF477A"/>
    <w:rsid w:val="00E3099B"/>
    <w:rsid w:val="00E36582"/>
    <w:rsid w:val="00E43CF1"/>
    <w:rsid w:val="00E442A0"/>
    <w:rsid w:val="00E45C9B"/>
    <w:rsid w:val="00E7089A"/>
    <w:rsid w:val="00E833CC"/>
    <w:rsid w:val="00EA04CE"/>
    <w:rsid w:val="00EB5D01"/>
    <w:rsid w:val="00EC5C1A"/>
    <w:rsid w:val="00F10808"/>
    <w:rsid w:val="00F43C49"/>
    <w:rsid w:val="00F74DBE"/>
    <w:rsid w:val="00F844E0"/>
    <w:rsid w:val="00F92C9A"/>
    <w:rsid w:val="00F97F58"/>
    <w:rsid w:val="01154BAB"/>
    <w:rsid w:val="0136557F"/>
    <w:rsid w:val="015B3B47"/>
    <w:rsid w:val="01B23E14"/>
    <w:rsid w:val="01B96EEB"/>
    <w:rsid w:val="01C7267B"/>
    <w:rsid w:val="01EE476A"/>
    <w:rsid w:val="02681355"/>
    <w:rsid w:val="02A653D6"/>
    <w:rsid w:val="02A65F2F"/>
    <w:rsid w:val="03013A6E"/>
    <w:rsid w:val="03973673"/>
    <w:rsid w:val="044674CF"/>
    <w:rsid w:val="04AC0A1D"/>
    <w:rsid w:val="04E610CC"/>
    <w:rsid w:val="04ED39CD"/>
    <w:rsid w:val="056921F6"/>
    <w:rsid w:val="05B844FC"/>
    <w:rsid w:val="07007DB5"/>
    <w:rsid w:val="077B00A1"/>
    <w:rsid w:val="07E21839"/>
    <w:rsid w:val="07FB3DC8"/>
    <w:rsid w:val="08E745BF"/>
    <w:rsid w:val="093D6F3A"/>
    <w:rsid w:val="0A217F6E"/>
    <w:rsid w:val="0A2F7010"/>
    <w:rsid w:val="0B3B7059"/>
    <w:rsid w:val="0C4A1EDF"/>
    <w:rsid w:val="0D49663A"/>
    <w:rsid w:val="0E2624D8"/>
    <w:rsid w:val="0E316732"/>
    <w:rsid w:val="0E6E549D"/>
    <w:rsid w:val="0EE778CF"/>
    <w:rsid w:val="0F702681"/>
    <w:rsid w:val="0FC20F9A"/>
    <w:rsid w:val="10075607"/>
    <w:rsid w:val="10196798"/>
    <w:rsid w:val="106A2B50"/>
    <w:rsid w:val="10702514"/>
    <w:rsid w:val="10A06571"/>
    <w:rsid w:val="10D25671"/>
    <w:rsid w:val="10EC17B7"/>
    <w:rsid w:val="11965BC6"/>
    <w:rsid w:val="11B6087A"/>
    <w:rsid w:val="11C4033D"/>
    <w:rsid w:val="120E1C01"/>
    <w:rsid w:val="128503ED"/>
    <w:rsid w:val="12971B2C"/>
    <w:rsid w:val="13426006"/>
    <w:rsid w:val="13D44784"/>
    <w:rsid w:val="1425033B"/>
    <w:rsid w:val="147C10A3"/>
    <w:rsid w:val="14CB6CA5"/>
    <w:rsid w:val="15455939"/>
    <w:rsid w:val="15FD6515"/>
    <w:rsid w:val="1653416E"/>
    <w:rsid w:val="16CB7C6F"/>
    <w:rsid w:val="16EB42BE"/>
    <w:rsid w:val="172D580C"/>
    <w:rsid w:val="17F46219"/>
    <w:rsid w:val="17FF44C5"/>
    <w:rsid w:val="18CE156F"/>
    <w:rsid w:val="19614D0C"/>
    <w:rsid w:val="19AB4D31"/>
    <w:rsid w:val="19FD4A34"/>
    <w:rsid w:val="1A9D0E28"/>
    <w:rsid w:val="1B5E7755"/>
    <w:rsid w:val="1BC40A78"/>
    <w:rsid w:val="1CAD3EB7"/>
    <w:rsid w:val="1CC655B2"/>
    <w:rsid w:val="1DBB0E8E"/>
    <w:rsid w:val="1DD40012"/>
    <w:rsid w:val="1E2F53D8"/>
    <w:rsid w:val="1E524A2D"/>
    <w:rsid w:val="1E8474D2"/>
    <w:rsid w:val="1E9773C2"/>
    <w:rsid w:val="1EC26F46"/>
    <w:rsid w:val="203C0075"/>
    <w:rsid w:val="204663A1"/>
    <w:rsid w:val="20A756FA"/>
    <w:rsid w:val="20C77B4A"/>
    <w:rsid w:val="21CA30C9"/>
    <w:rsid w:val="21D014A7"/>
    <w:rsid w:val="21E4116E"/>
    <w:rsid w:val="21ED7DD9"/>
    <w:rsid w:val="221424D5"/>
    <w:rsid w:val="22434BAE"/>
    <w:rsid w:val="22F10325"/>
    <w:rsid w:val="2307710F"/>
    <w:rsid w:val="2318643B"/>
    <w:rsid w:val="23EB6A35"/>
    <w:rsid w:val="23ED2802"/>
    <w:rsid w:val="243E0123"/>
    <w:rsid w:val="246456B0"/>
    <w:rsid w:val="250A7DD1"/>
    <w:rsid w:val="25A61BBF"/>
    <w:rsid w:val="26485289"/>
    <w:rsid w:val="268711BF"/>
    <w:rsid w:val="26D47CD8"/>
    <w:rsid w:val="280478D6"/>
    <w:rsid w:val="28DD7F09"/>
    <w:rsid w:val="290B5DCA"/>
    <w:rsid w:val="292728BE"/>
    <w:rsid w:val="29712D49"/>
    <w:rsid w:val="2AE93B73"/>
    <w:rsid w:val="2AEC647E"/>
    <w:rsid w:val="2B275ED7"/>
    <w:rsid w:val="2C136339"/>
    <w:rsid w:val="2C1A5638"/>
    <w:rsid w:val="2CB521E5"/>
    <w:rsid w:val="2CCA4DAC"/>
    <w:rsid w:val="2CD0188A"/>
    <w:rsid w:val="2D1063D5"/>
    <w:rsid w:val="2D1546DA"/>
    <w:rsid w:val="2D6F0569"/>
    <w:rsid w:val="2DBA01DD"/>
    <w:rsid w:val="2DDFE72C"/>
    <w:rsid w:val="2DEB6E74"/>
    <w:rsid w:val="2E2528ED"/>
    <w:rsid w:val="2F0A5A38"/>
    <w:rsid w:val="2F35748D"/>
    <w:rsid w:val="2F976E1E"/>
    <w:rsid w:val="32017127"/>
    <w:rsid w:val="322E1CC9"/>
    <w:rsid w:val="32560D2E"/>
    <w:rsid w:val="325B04BA"/>
    <w:rsid w:val="32A61CB5"/>
    <w:rsid w:val="33744D0D"/>
    <w:rsid w:val="338C7379"/>
    <w:rsid w:val="34DA795B"/>
    <w:rsid w:val="3535425A"/>
    <w:rsid w:val="35425176"/>
    <w:rsid w:val="356A4012"/>
    <w:rsid w:val="35902729"/>
    <w:rsid w:val="35A95619"/>
    <w:rsid w:val="35C0056C"/>
    <w:rsid w:val="36356EAC"/>
    <w:rsid w:val="36AF6C5F"/>
    <w:rsid w:val="37662F96"/>
    <w:rsid w:val="377A54BF"/>
    <w:rsid w:val="379E37A5"/>
    <w:rsid w:val="37B16457"/>
    <w:rsid w:val="38042A8C"/>
    <w:rsid w:val="38966FA3"/>
    <w:rsid w:val="39110CEF"/>
    <w:rsid w:val="396C3668"/>
    <w:rsid w:val="3A8F6101"/>
    <w:rsid w:val="3ACA4085"/>
    <w:rsid w:val="3AD22D40"/>
    <w:rsid w:val="3AF76185"/>
    <w:rsid w:val="3AFD268F"/>
    <w:rsid w:val="3B8F406A"/>
    <w:rsid w:val="3C3F599F"/>
    <w:rsid w:val="3C814BF9"/>
    <w:rsid w:val="3D3F4F43"/>
    <w:rsid w:val="3D97432A"/>
    <w:rsid w:val="3DAB0D9A"/>
    <w:rsid w:val="3DED74D0"/>
    <w:rsid w:val="3E073172"/>
    <w:rsid w:val="3E0D4FFF"/>
    <w:rsid w:val="3E9C5B90"/>
    <w:rsid w:val="3F8E7D59"/>
    <w:rsid w:val="40FE09E1"/>
    <w:rsid w:val="4110479E"/>
    <w:rsid w:val="425B5810"/>
    <w:rsid w:val="431F7312"/>
    <w:rsid w:val="43F63ADC"/>
    <w:rsid w:val="446071E8"/>
    <w:rsid w:val="447D6B3E"/>
    <w:rsid w:val="44BB6D19"/>
    <w:rsid w:val="44C6048B"/>
    <w:rsid w:val="45367494"/>
    <w:rsid w:val="45700264"/>
    <w:rsid w:val="45877A91"/>
    <w:rsid w:val="46020B59"/>
    <w:rsid w:val="464D3448"/>
    <w:rsid w:val="464F77E7"/>
    <w:rsid w:val="46633233"/>
    <w:rsid w:val="471B0FE7"/>
    <w:rsid w:val="475A49C5"/>
    <w:rsid w:val="47E55F96"/>
    <w:rsid w:val="49042E3A"/>
    <w:rsid w:val="497604CD"/>
    <w:rsid w:val="49D54A88"/>
    <w:rsid w:val="4A5A2857"/>
    <w:rsid w:val="4A9D46FE"/>
    <w:rsid w:val="4AC54295"/>
    <w:rsid w:val="4C5A03E1"/>
    <w:rsid w:val="4C5B3CD9"/>
    <w:rsid w:val="4C602AB7"/>
    <w:rsid w:val="4CB80D36"/>
    <w:rsid w:val="4D251D4A"/>
    <w:rsid w:val="4D381304"/>
    <w:rsid w:val="4D3875D7"/>
    <w:rsid w:val="4D953813"/>
    <w:rsid w:val="4E0C18E6"/>
    <w:rsid w:val="4E575A17"/>
    <w:rsid w:val="4ED25235"/>
    <w:rsid w:val="50395ABF"/>
    <w:rsid w:val="5094174C"/>
    <w:rsid w:val="51287B62"/>
    <w:rsid w:val="51455647"/>
    <w:rsid w:val="514B33E6"/>
    <w:rsid w:val="51B1799A"/>
    <w:rsid w:val="523533C3"/>
    <w:rsid w:val="523C1194"/>
    <w:rsid w:val="526A36C6"/>
    <w:rsid w:val="530549C3"/>
    <w:rsid w:val="53B905AF"/>
    <w:rsid w:val="53C77C7D"/>
    <w:rsid w:val="53E82979"/>
    <w:rsid w:val="541C54DC"/>
    <w:rsid w:val="54212AF2"/>
    <w:rsid w:val="543D23B0"/>
    <w:rsid w:val="54855DB6"/>
    <w:rsid w:val="549D35C9"/>
    <w:rsid w:val="55102B67"/>
    <w:rsid w:val="55812CD1"/>
    <w:rsid w:val="580A7D41"/>
    <w:rsid w:val="58C3686E"/>
    <w:rsid w:val="58FD6DBD"/>
    <w:rsid w:val="59457283"/>
    <w:rsid w:val="5A1C100A"/>
    <w:rsid w:val="5A43139D"/>
    <w:rsid w:val="5A4620CF"/>
    <w:rsid w:val="5BAF30D9"/>
    <w:rsid w:val="5BBE590C"/>
    <w:rsid w:val="5CA65E11"/>
    <w:rsid w:val="5D29441D"/>
    <w:rsid w:val="5D6B15C9"/>
    <w:rsid w:val="5DE80803"/>
    <w:rsid w:val="5E745606"/>
    <w:rsid w:val="5EA900A7"/>
    <w:rsid w:val="5EB3711B"/>
    <w:rsid w:val="5ECF1260"/>
    <w:rsid w:val="5F492E15"/>
    <w:rsid w:val="5F8403D9"/>
    <w:rsid w:val="5FCF6F7B"/>
    <w:rsid w:val="5FE55EC1"/>
    <w:rsid w:val="5FF33A08"/>
    <w:rsid w:val="5FFB6F59"/>
    <w:rsid w:val="600F393E"/>
    <w:rsid w:val="613F280A"/>
    <w:rsid w:val="615F476F"/>
    <w:rsid w:val="617E0BFA"/>
    <w:rsid w:val="62507EEA"/>
    <w:rsid w:val="62E51575"/>
    <w:rsid w:val="62EB117A"/>
    <w:rsid w:val="63371C84"/>
    <w:rsid w:val="63A64DC2"/>
    <w:rsid w:val="63D866E8"/>
    <w:rsid w:val="63F35B2D"/>
    <w:rsid w:val="641B57B0"/>
    <w:rsid w:val="645667E8"/>
    <w:rsid w:val="64F35D38"/>
    <w:rsid w:val="652F12CE"/>
    <w:rsid w:val="656A4132"/>
    <w:rsid w:val="6646288C"/>
    <w:rsid w:val="666920D7"/>
    <w:rsid w:val="66BF2D70"/>
    <w:rsid w:val="677E6CFC"/>
    <w:rsid w:val="67826B91"/>
    <w:rsid w:val="679A69EC"/>
    <w:rsid w:val="6815114A"/>
    <w:rsid w:val="68297D70"/>
    <w:rsid w:val="688A4919"/>
    <w:rsid w:val="69076303"/>
    <w:rsid w:val="69194288"/>
    <w:rsid w:val="69336F72"/>
    <w:rsid w:val="6A2D7545"/>
    <w:rsid w:val="6AB72D3D"/>
    <w:rsid w:val="6B4F6CB6"/>
    <w:rsid w:val="6BA240C1"/>
    <w:rsid w:val="6BDA065F"/>
    <w:rsid w:val="6BE75F78"/>
    <w:rsid w:val="6BF608B1"/>
    <w:rsid w:val="6C1C1FCE"/>
    <w:rsid w:val="6C980234"/>
    <w:rsid w:val="6D6F26C8"/>
    <w:rsid w:val="6DAF330D"/>
    <w:rsid w:val="6E277C9C"/>
    <w:rsid w:val="6E7C0D2B"/>
    <w:rsid w:val="6F641F6D"/>
    <w:rsid w:val="6FDE5C73"/>
    <w:rsid w:val="706A53C9"/>
    <w:rsid w:val="707068C7"/>
    <w:rsid w:val="720E2949"/>
    <w:rsid w:val="727339CE"/>
    <w:rsid w:val="72F31840"/>
    <w:rsid w:val="72FE645C"/>
    <w:rsid w:val="736B3932"/>
    <w:rsid w:val="73A77042"/>
    <w:rsid w:val="73EF519E"/>
    <w:rsid w:val="742442AB"/>
    <w:rsid w:val="74403DA8"/>
    <w:rsid w:val="74D77BED"/>
    <w:rsid w:val="754E3B61"/>
    <w:rsid w:val="75C423FF"/>
    <w:rsid w:val="7625426C"/>
    <w:rsid w:val="76B64D17"/>
    <w:rsid w:val="77004C52"/>
    <w:rsid w:val="77B77146"/>
    <w:rsid w:val="77C87FD8"/>
    <w:rsid w:val="788E326C"/>
    <w:rsid w:val="78CC6E57"/>
    <w:rsid w:val="79022643"/>
    <w:rsid w:val="79821898"/>
    <w:rsid w:val="79E001BF"/>
    <w:rsid w:val="79FD6441"/>
    <w:rsid w:val="7A6668D4"/>
    <w:rsid w:val="7A876D7F"/>
    <w:rsid w:val="7AD564E8"/>
    <w:rsid w:val="7AEF4E49"/>
    <w:rsid w:val="7B722498"/>
    <w:rsid w:val="7BC879E2"/>
    <w:rsid w:val="7C984BAA"/>
    <w:rsid w:val="7CDB021E"/>
    <w:rsid w:val="7D3E5EAF"/>
    <w:rsid w:val="7D58064F"/>
    <w:rsid w:val="7D632DD4"/>
    <w:rsid w:val="7DA261A2"/>
    <w:rsid w:val="7DA54A90"/>
    <w:rsid w:val="7DBA669D"/>
    <w:rsid w:val="7E142CC9"/>
    <w:rsid w:val="7E310BD4"/>
    <w:rsid w:val="7E6C3160"/>
    <w:rsid w:val="7F584C9E"/>
    <w:rsid w:val="7F856361"/>
    <w:rsid w:val="7FDF67C7"/>
    <w:rsid w:val="7FF35CED"/>
    <w:rsid w:val="7FFE3DFA"/>
    <w:rsid w:val="CB831B75"/>
    <w:rsid w:val="CBFFF909"/>
    <w:rsid w:val="DBFEA2BA"/>
    <w:rsid w:val="EE7FD438"/>
    <w:rsid w:val="EFEE7D79"/>
    <w:rsid w:val="FDF9457B"/>
    <w:rsid w:val="FF5F9BD5"/>
    <w:rsid w:val="FFC30F5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name="toc 2"/>
    <w:lsdException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44"/>
    <w:autoRedefine/>
    <w:qFormat/>
    <w:uiPriority w:val="0"/>
    <w:pPr>
      <w:keepNext/>
      <w:keepLines/>
      <w:spacing w:before="340" w:after="110" w:line="480" w:lineRule="auto"/>
      <w:jc w:val="center"/>
      <w:outlineLvl w:val="0"/>
    </w:pPr>
    <w:rPr>
      <w:rFonts w:eastAsia="宋体"/>
      <w:b/>
      <w:kern w:val="44"/>
      <w:sz w:val="44"/>
      <w:szCs w:val="20"/>
    </w:rPr>
  </w:style>
  <w:style w:type="paragraph" w:styleId="4">
    <w:name w:val="heading 2"/>
    <w:basedOn w:val="1"/>
    <w:next w:val="1"/>
    <w:link w:val="43"/>
    <w:autoRedefine/>
    <w:semiHidden/>
    <w:unhideWhenUsed/>
    <w:qFormat/>
    <w:uiPriority w:val="0"/>
    <w:pPr>
      <w:keepNext/>
      <w:keepLines/>
      <w:spacing w:before="260" w:after="260" w:line="416" w:lineRule="auto"/>
      <w:outlineLvl w:val="1"/>
    </w:pPr>
    <w:rPr>
      <w:rFonts w:ascii="Calibri Light" w:hAnsi="Calibri Light" w:eastAsia="宋体"/>
      <w:b/>
      <w:bCs/>
      <w:szCs w:val="32"/>
    </w:rPr>
  </w:style>
  <w:style w:type="paragraph" w:styleId="5">
    <w:name w:val="heading 3"/>
    <w:basedOn w:val="1"/>
    <w:next w:val="1"/>
    <w:autoRedefine/>
    <w:qFormat/>
    <w:uiPriority w:val="1"/>
    <w:pPr>
      <w:keepNext/>
      <w:keepLines/>
      <w:adjustRightInd w:val="0"/>
      <w:snapToGrid w:val="0"/>
      <w:spacing w:line="360" w:lineRule="auto"/>
      <w:jc w:val="left"/>
      <w:outlineLvl w:val="2"/>
    </w:pPr>
    <w:rPr>
      <w:rFonts w:ascii="宋体" w:hAnsi="宋体" w:eastAsia="宋体"/>
      <w:b/>
      <w:bCs/>
      <w:kern w:val="0"/>
      <w:sz w:val="20"/>
      <w:szCs w:val="21"/>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unhideWhenUsed/>
    <w:qFormat/>
    <w:uiPriority w:val="0"/>
    <w:pPr>
      <w:snapToGrid w:val="0"/>
      <w:spacing w:line="360" w:lineRule="exact"/>
    </w:pPr>
    <w:rPr>
      <w:rFonts w:ascii="Arial" w:hAnsi="Arial" w:eastAsia="宋体" w:cs="Arial"/>
      <w:kern w:val="0"/>
      <w:sz w:val="21"/>
    </w:rPr>
  </w:style>
  <w:style w:type="paragraph" w:styleId="6">
    <w:name w:val="Normal Indent"/>
    <w:basedOn w:val="1"/>
    <w:next w:val="1"/>
    <w:autoRedefine/>
    <w:semiHidden/>
    <w:unhideWhenUsed/>
    <w:qFormat/>
    <w:uiPriority w:val="0"/>
    <w:pPr>
      <w:ind w:firstLine="420" w:firstLineChars="200"/>
    </w:pPr>
    <w:rPr>
      <w:rFonts w:eastAsia="宋体"/>
      <w:sz w:val="21"/>
    </w:rPr>
  </w:style>
  <w:style w:type="paragraph" w:styleId="7">
    <w:name w:val="annotation text"/>
    <w:basedOn w:val="1"/>
    <w:link w:val="34"/>
    <w:autoRedefine/>
    <w:qFormat/>
    <w:uiPriority w:val="0"/>
    <w:pPr>
      <w:jc w:val="left"/>
    </w:pPr>
  </w:style>
  <w:style w:type="paragraph" w:styleId="8">
    <w:name w:val="Body Text"/>
    <w:basedOn w:val="1"/>
    <w:next w:val="9"/>
    <w:autoRedefine/>
    <w:qFormat/>
    <w:uiPriority w:val="1"/>
    <w:pPr>
      <w:spacing w:after="120"/>
    </w:pPr>
    <w:rPr>
      <w:rFonts w:eastAsia="宋体"/>
      <w:sz w:val="21"/>
      <w:szCs w:val="21"/>
    </w:rPr>
  </w:style>
  <w:style w:type="paragraph" w:styleId="9">
    <w:name w:val="Body Text First Indent"/>
    <w:basedOn w:val="8"/>
    <w:next w:val="10"/>
    <w:autoRedefine/>
    <w:qFormat/>
    <w:uiPriority w:val="99"/>
    <w:pPr>
      <w:widowControl/>
      <w:ind w:firstLine="420" w:firstLineChars="100"/>
      <w:jc w:val="left"/>
    </w:pPr>
    <w:rPr>
      <w:kern w:val="0"/>
    </w:rPr>
  </w:style>
  <w:style w:type="paragraph" w:styleId="10">
    <w:name w:val="toc 6"/>
    <w:basedOn w:val="1"/>
    <w:next w:val="1"/>
    <w:autoRedefine/>
    <w:qFormat/>
    <w:uiPriority w:val="0"/>
    <w:pPr>
      <w:ind w:left="1050"/>
      <w:jc w:val="left"/>
    </w:pPr>
    <w:rPr>
      <w:rFonts w:eastAsia="宋体"/>
      <w:sz w:val="18"/>
      <w:szCs w:val="18"/>
    </w:rPr>
  </w:style>
  <w:style w:type="paragraph" w:styleId="11">
    <w:name w:val="Body Text Indent"/>
    <w:basedOn w:val="1"/>
    <w:autoRedefine/>
    <w:qFormat/>
    <w:uiPriority w:val="0"/>
    <w:pPr>
      <w:adjustRightInd w:val="0"/>
      <w:spacing w:line="360" w:lineRule="auto"/>
      <w:ind w:firstLine="490"/>
      <w:jc w:val="left"/>
    </w:pPr>
    <w:rPr>
      <w:rFonts w:hint="eastAsia" w:ascii="宋体" w:hAnsi="宋体" w:eastAsia="宋体"/>
      <w:sz w:val="24"/>
      <w:szCs w:val="20"/>
    </w:rPr>
  </w:style>
  <w:style w:type="paragraph" w:styleId="12">
    <w:name w:val="toc 5"/>
    <w:basedOn w:val="1"/>
    <w:next w:val="1"/>
    <w:autoRedefine/>
    <w:qFormat/>
    <w:uiPriority w:val="0"/>
    <w:pPr>
      <w:ind w:left="1680" w:leftChars="800"/>
    </w:pPr>
    <w:rPr>
      <w:rFonts w:eastAsia="宋体"/>
      <w:sz w:val="21"/>
    </w:rPr>
  </w:style>
  <w:style w:type="paragraph" w:styleId="13">
    <w:name w:val="Plain Text"/>
    <w:basedOn w:val="1"/>
    <w:link w:val="62"/>
    <w:autoRedefine/>
    <w:unhideWhenUsed/>
    <w:qFormat/>
    <w:uiPriority w:val="0"/>
    <w:rPr>
      <w:rFonts w:ascii="宋体" w:hAnsi="Courier New" w:eastAsia="宋体"/>
      <w:kern w:val="0"/>
      <w:sz w:val="20"/>
      <w:szCs w:val="20"/>
    </w:rPr>
  </w:style>
  <w:style w:type="paragraph" w:styleId="14">
    <w:name w:val="Date"/>
    <w:basedOn w:val="1"/>
    <w:next w:val="1"/>
    <w:autoRedefine/>
    <w:semiHidden/>
    <w:unhideWhenUsed/>
    <w:qFormat/>
    <w:uiPriority w:val="0"/>
    <w:pPr>
      <w:ind w:left="100" w:leftChars="2500"/>
    </w:pPr>
    <w:rPr>
      <w:rFonts w:eastAsia="宋体"/>
      <w:sz w:val="24"/>
    </w:rPr>
  </w:style>
  <w:style w:type="paragraph" w:styleId="15">
    <w:name w:val="Balloon Text"/>
    <w:basedOn w:val="1"/>
    <w:link w:val="35"/>
    <w:autoRedefine/>
    <w:qFormat/>
    <w:uiPriority w:val="0"/>
    <w:rPr>
      <w:sz w:val="18"/>
      <w:szCs w:val="18"/>
    </w:rPr>
  </w:style>
  <w:style w:type="paragraph" w:styleId="16">
    <w:name w:val="footer"/>
    <w:basedOn w:val="1"/>
    <w:link w:val="36"/>
    <w:autoRedefine/>
    <w:qFormat/>
    <w:uiPriority w:val="99"/>
    <w:pPr>
      <w:tabs>
        <w:tab w:val="center" w:pos="4153"/>
        <w:tab w:val="right" w:pos="8306"/>
      </w:tabs>
      <w:snapToGrid w:val="0"/>
      <w:jc w:val="left"/>
    </w:pPr>
    <w:rPr>
      <w:sz w:val="18"/>
      <w:szCs w:val="18"/>
    </w:rPr>
  </w:style>
  <w:style w:type="paragraph" w:styleId="17">
    <w:name w:val="header"/>
    <w:basedOn w:val="1"/>
    <w:next w:val="12"/>
    <w:link w:val="37"/>
    <w:autoRedefine/>
    <w:qFormat/>
    <w:uiPriority w:val="99"/>
    <w:pPr>
      <w:pBdr>
        <w:bottom w:val="single" w:color="auto" w:sz="6" w:space="1"/>
      </w:pBdr>
      <w:tabs>
        <w:tab w:val="center" w:pos="4153"/>
        <w:tab w:val="right" w:pos="8306"/>
      </w:tabs>
      <w:snapToGrid w:val="0"/>
      <w:jc w:val="center"/>
    </w:pPr>
    <w:rPr>
      <w:sz w:val="18"/>
      <w:szCs w:val="18"/>
    </w:rPr>
  </w:style>
  <w:style w:type="paragraph" w:styleId="18">
    <w:name w:val="toc 2"/>
    <w:basedOn w:val="1"/>
    <w:next w:val="1"/>
    <w:autoRedefine/>
    <w:semiHidden/>
    <w:unhideWhenUsed/>
    <w:qFormat/>
    <w:uiPriority w:val="0"/>
    <w:pPr>
      <w:ind w:left="420" w:leftChars="200"/>
    </w:pPr>
    <w:rPr>
      <w:rFonts w:eastAsia="宋体"/>
      <w:sz w:val="21"/>
    </w:rPr>
  </w:style>
  <w:style w:type="paragraph" w:styleId="19">
    <w:name w:val="Body Text 2"/>
    <w:basedOn w:val="1"/>
    <w:autoRedefine/>
    <w:unhideWhenUsed/>
    <w:qFormat/>
    <w:uiPriority w:val="99"/>
    <w:pPr>
      <w:spacing w:after="120" w:line="480" w:lineRule="auto"/>
    </w:pPr>
  </w:style>
  <w:style w:type="paragraph" w:styleId="20">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rPr>
  </w:style>
  <w:style w:type="paragraph" w:styleId="21">
    <w:name w:val="Normal (Web)"/>
    <w:basedOn w:val="1"/>
    <w:autoRedefine/>
    <w:qFormat/>
    <w:uiPriority w:val="99"/>
    <w:pPr>
      <w:widowControl/>
      <w:spacing w:before="100" w:beforeAutospacing="1" w:after="100" w:afterAutospacing="1"/>
      <w:jc w:val="left"/>
    </w:pPr>
    <w:rPr>
      <w:rFonts w:ascii="宋体" w:hAnsi="宋体" w:eastAsia="宋体"/>
      <w:kern w:val="0"/>
      <w:sz w:val="24"/>
    </w:rPr>
  </w:style>
  <w:style w:type="paragraph" w:styleId="22">
    <w:name w:val="Title"/>
    <w:basedOn w:val="1"/>
    <w:next w:val="1"/>
    <w:autoRedefine/>
    <w:qFormat/>
    <w:uiPriority w:val="0"/>
    <w:pPr>
      <w:spacing w:before="240" w:after="60"/>
      <w:jc w:val="center"/>
      <w:outlineLvl w:val="0"/>
    </w:pPr>
    <w:rPr>
      <w:rFonts w:ascii="Arial" w:hAnsi="Arial" w:cs="Arial"/>
      <w:color w:val="000000"/>
      <w:kern w:val="0"/>
      <w:szCs w:val="32"/>
    </w:rPr>
  </w:style>
  <w:style w:type="paragraph" w:styleId="23">
    <w:name w:val="annotation subject"/>
    <w:basedOn w:val="7"/>
    <w:next w:val="7"/>
    <w:link w:val="38"/>
    <w:autoRedefine/>
    <w:qFormat/>
    <w:uiPriority w:val="0"/>
    <w:rPr>
      <w:b/>
      <w:bCs/>
    </w:rPr>
  </w:style>
  <w:style w:type="paragraph" w:styleId="24">
    <w:name w:val="Body Text First Indent 2"/>
    <w:basedOn w:val="11"/>
    <w:next w:val="1"/>
    <w:autoRedefine/>
    <w:qFormat/>
    <w:uiPriority w:val="0"/>
    <w:pPr>
      <w:spacing w:after="120"/>
      <w:ind w:left="420" w:leftChars="200" w:firstLine="420"/>
    </w:pPr>
  </w:style>
  <w:style w:type="table" w:styleId="26">
    <w:name w:val="Table Grid"/>
    <w:basedOn w:val="25"/>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autoRedefine/>
    <w:qFormat/>
    <w:uiPriority w:val="0"/>
    <w:rPr>
      <w:b/>
    </w:rPr>
  </w:style>
  <w:style w:type="character" w:styleId="29">
    <w:name w:val="page number"/>
    <w:autoRedefine/>
    <w:qFormat/>
    <w:uiPriority w:val="0"/>
    <w:rPr>
      <w:rFonts w:ascii="Times New Roman" w:hAnsi="Times New Roman" w:eastAsia="宋体" w:cs="Times New Roman"/>
    </w:rPr>
  </w:style>
  <w:style w:type="character" w:styleId="30">
    <w:name w:val="Hyperlink"/>
    <w:autoRedefine/>
    <w:unhideWhenUsed/>
    <w:qFormat/>
    <w:uiPriority w:val="0"/>
    <w:rPr>
      <w:rFonts w:ascii="Times New Roman" w:hAnsi="Times New Roman" w:eastAsia="宋体" w:cs="Times New Roman"/>
      <w:color w:val="000080"/>
      <w:u w:val="none"/>
    </w:rPr>
  </w:style>
  <w:style w:type="character" w:styleId="31">
    <w:name w:val="annotation reference"/>
    <w:basedOn w:val="27"/>
    <w:autoRedefine/>
    <w:qFormat/>
    <w:uiPriority w:val="0"/>
    <w:rPr>
      <w:sz w:val="21"/>
      <w:szCs w:val="21"/>
    </w:rPr>
  </w:style>
  <w:style w:type="paragraph" w:customStyle="1" w:styleId="32">
    <w:name w:val="_Style 3"/>
    <w:basedOn w:val="1"/>
    <w:autoRedefine/>
    <w:qFormat/>
    <w:uiPriority w:val="0"/>
    <w:pPr>
      <w:ind w:firstLine="420" w:firstLineChars="200"/>
    </w:pPr>
    <w:rPr>
      <w:sz w:val="28"/>
    </w:rPr>
  </w:style>
  <w:style w:type="paragraph" w:customStyle="1" w:styleId="33">
    <w:name w:val="样式 标题 1 + 四号 加粗"/>
    <w:basedOn w:val="3"/>
    <w:autoRedefine/>
    <w:qFormat/>
    <w:uiPriority w:val="0"/>
  </w:style>
  <w:style w:type="character" w:customStyle="1" w:styleId="34">
    <w:name w:val="批注文字 Char"/>
    <w:basedOn w:val="27"/>
    <w:link w:val="7"/>
    <w:autoRedefine/>
    <w:qFormat/>
    <w:uiPriority w:val="0"/>
    <w:rPr>
      <w:rFonts w:eastAsia="仿宋_GB2312"/>
      <w:kern w:val="2"/>
      <w:sz w:val="32"/>
      <w:szCs w:val="24"/>
    </w:rPr>
  </w:style>
  <w:style w:type="character" w:customStyle="1" w:styleId="35">
    <w:name w:val="批注框文本 Char"/>
    <w:basedOn w:val="27"/>
    <w:link w:val="15"/>
    <w:autoRedefine/>
    <w:qFormat/>
    <w:uiPriority w:val="0"/>
    <w:rPr>
      <w:rFonts w:eastAsia="仿宋_GB2312"/>
      <w:kern w:val="2"/>
      <w:sz w:val="18"/>
      <w:szCs w:val="18"/>
    </w:rPr>
  </w:style>
  <w:style w:type="character" w:customStyle="1" w:styleId="36">
    <w:name w:val="页脚 Char"/>
    <w:basedOn w:val="27"/>
    <w:link w:val="16"/>
    <w:autoRedefine/>
    <w:qFormat/>
    <w:uiPriority w:val="99"/>
    <w:rPr>
      <w:rFonts w:eastAsia="仿宋_GB2312"/>
      <w:kern w:val="2"/>
      <w:sz w:val="18"/>
      <w:szCs w:val="18"/>
    </w:rPr>
  </w:style>
  <w:style w:type="character" w:customStyle="1" w:styleId="37">
    <w:name w:val="页眉 Char"/>
    <w:basedOn w:val="27"/>
    <w:link w:val="17"/>
    <w:autoRedefine/>
    <w:qFormat/>
    <w:uiPriority w:val="99"/>
    <w:rPr>
      <w:rFonts w:eastAsia="仿宋_GB2312"/>
      <w:kern w:val="2"/>
      <w:sz w:val="18"/>
      <w:szCs w:val="18"/>
    </w:rPr>
  </w:style>
  <w:style w:type="character" w:customStyle="1" w:styleId="38">
    <w:name w:val="批注主题 Char"/>
    <w:basedOn w:val="34"/>
    <w:link w:val="23"/>
    <w:autoRedefine/>
    <w:qFormat/>
    <w:uiPriority w:val="0"/>
    <w:rPr>
      <w:rFonts w:eastAsia="仿宋_GB2312"/>
      <w:b/>
      <w:bCs/>
      <w:kern w:val="2"/>
      <w:sz w:val="32"/>
      <w:szCs w:val="24"/>
    </w:rPr>
  </w:style>
  <w:style w:type="paragraph" w:customStyle="1" w:styleId="39">
    <w:name w:val="Char1 Char Char Char"/>
    <w:basedOn w:val="1"/>
    <w:autoRedefine/>
    <w:qFormat/>
    <w:uiPriority w:val="0"/>
    <w:pPr>
      <w:widowControl/>
      <w:spacing w:after="160" w:line="240" w:lineRule="exact"/>
      <w:jc w:val="left"/>
    </w:pPr>
    <w:rPr>
      <w:rFonts w:ascii="Verdana" w:hAnsi="Verdana" w:eastAsia="宋体"/>
      <w:kern w:val="0"/>
      <w:sz w:val="20"/>
      <w:szCs w:val="20"/>
      <w:lang w:eastAsia="en-US"/>
    </w:rPr>
  </w:style>
  <w:style w:type="paragraph" w:customStyle="1" w:styleId="40">
    <w:name w:val="Body Text First Indent1"/>
    <w:basedOn w:val="8"/>
    <w:next w:val="17"/>
    <w:autoRedefine/>
    <w:qFormat/>
    <w:uiPriority w:val="0"/>
    <w:pPr>
      <w:ind w:firstLine="420" w:firstLineChars="100"/>
    </w:pPr>
    <w:rPr>
      <w:sz w:val="20"/>
    </w:rPr>
  </w:style>
  <w:style w:type="paragraph" w:customStyle="1" w:styleId="41">
    <w:name w:val="WPSOffice手动目录 1"/>
    <w:autoRedefine/>
    <w:qFormat/>
    <w:uiPriority w:val="0"/>
    <w:rPr>
      <w:rFonts w:ascii="Times New Roman" w:hAnsi="Times New Roman" w:eastAsia="宋体" w:cs="Times New Roman"/>
      <w:lang w:val="en-US" w:eastAsia="zh-CN" w:bidi="ar-SA"/>
    </w:rPr>
  </w:style>
  <w:style w:type="paragraph" w:styleId="42">
    <w:name w:val="List Paragraph"/>
    <w:basedOn w:val="1"/>
    <w:autoRedefine/>
    <w:qFormat/>
    <w:uiPriority w:val="34"/>
    <w:pPr>
      <w:ind w:firstLine="420" w:firstLineChars="200"/>
    </w:pPr>
    <w:rPr>
      <w:rFonts w:ascii="Calibri" w:hAnsi="Calibri" w:eastAsia="等线"/>
      <w:kern w:val="0"/>
      <w:sz w:val="20"/>
      <w:szCs w:val="20"/>
    </w:rPr>
  </w:style>
  <w:style w:type="character" w:customStyle="1" w:styleId="43">
    <w:name w:val="标题 2 Char"/>
    <w:link w:val="4"/>
    <w:autoRedefine/>
    <w:semiHidden/>
    <w:qFormat/>
    <w:uiPriority w:val="0"/>
    <w:rPr>
      <w:rFonts w:ascii="Calibri Light" w:hAnsi="Calibri Light" w:eastAsia="宋体" w:cs="Times New Roman"/>
      <w:b/>
      <w:bCs/>
      <w:sz w:val="32"/>
      <w:szCs w:val="32"/>
    </w:rPr>
  </w:style>
  <w:style w:type="character" w:customStyle="1" w:styleId="44">
    <w:name w:val="标题 1 Char"/>
    <w:link w:val="3"/>
    <w:autoRedefine/>
    <w:qFormat/>
    <w:uiPriority w:val="0"/>
    <w:rPr>
      <w:rFonts w:ascii="Times New Roman" w:hAnsi="Times New Roman" w:eastAsia="宋体" w:cs="Times New Roman"/>
      <w:b/>
      <w:kern w:val="44"/>
      <w:sz w:val="44"/>
      <w:szCs w:val="20"/>
    </w:rPr>
  </w:style>
  <w:style w:type="paragraph" w:customStyle="1" w:styleId="45">
    <w:name w:val="3"/>
    <w:basedOn w:val="1"/>
    <w:autoRedefine/>
    <w:qFormat/>
    <w:uiPriority w:val="0"/>
    <w:pPr>
      <w:adjustRightInd w:val="0"/>
      <w:spacing w:line="312" w:lineRule="atLeast"/>
      <w:ind w:left="1134" w:hanging="566"/>
    </w:pPr>
    <w:rPr>
      <w:rFonts w:ascii="昆仑楷体" w:eastAsia="昆仑楷体"/>
      <w:kern w:val="0"/>
      <w:sz w:val="24"/>
      <w:szCs w:val="20"/>
    </w:rPr>
  </w:style>
  <w:style w:type="paragraph" w:customStyle="1" w:styleId="46">
    <w:name w:val="Table Paragraph"/>
    <w:basedOn w:val="1"/>
    <w:autoRedefine/>
    <w:qFormat/>
    <w:uiPriority w:val="1"/>
    <w:pPr>
      <w:jc w:val="left"/>
    </w:pPr>
    <w:rPr>
      <w:rFonts w:ascii="宋体" w:hAnsi="宋体" w:eastAsia="宋体" w:cs="宋体"/>
      <w:kern w:val="0"/>
      <w:sz w:val="22"/>
      <w:szCs w:val="22"/>
      <w:lang w:eastAsia="en-US"/>
    </w:rPr>
  </w:style>
  <w:style w:type="paragraph" w:customStyle="1" w:styleId="47">
    <w:name w:val="样式1"/>
    <w:basedOn w:val="8"/>
    <w:autoRedefine/>
    <w:qFormat/>
    <w:uiPriority w:val="0"/>
    <w:pPr>
      <w:jc w:val="center"/>
    </w:pPr>
    <w:rPr>
      <w:rFonts w:ascii="Cambria" w:hAnsi="Cambria"/>
      <w:b/>
      <w:bCs/>
      <w:kern w:val="44"/>
      <w:sz w:val="32"/>
      <w:szCs w:val="44"/>
      <w:lang w:val="zh-CN"/>
    </w:rPr>
  </w:style>
  <w:style w:type="paragraph" w:customStyle="1" w:styleId="48">
    <w:name w:val="正文2"/>
    <w:basedOn w:val="1"/>
    <w:autoRedefine/>
    <w:qFormat/>
    <w:uiPriority w:val="0"/>
    <w:pPr>
      <w:spacing w:before="156" w:line="360" w:lineRule="auto"/>
      <w:ind w:firstLine="510" w:firstLineChars="200"/>
    </w:pPr>
    <w:rPr>
      <w:rFonts w:ascii="Calibri" w:hAnsi="Calibri" w:eastAsia="宋体"/>
      <w:kern w:val="0"/>
      <w:sz w:val="24"/>
      <w:szCs w:val="20"/>
    </w:rPr>
  </w:style>
  <w:style w:type="paragraph" w:customStyle="1" w:styleId="49">
    <w:name w:val="列出段落1"/>
    <w:basedOn w:val="1"/>
    <w:autoRedefine/>
    <w:qFormat/>
    <w:uiPriority w:val="34"/>
    <w:pPr>
      <w:ind w:firstLine="420" w:firstLineChars="200"/>
    </w:pPr>
    <w:rPr>
      <w:rFonts w:eastAsia="宋体"/>
      <w:sz w:val="21"/>
    </w:rPr>
  </w:style>
  <w:style w:type="paragraph" w:customStyle="1" w:styleId="50">
    <w:name w:val="_Style 284"/>
    <w:basedOn w:val="8"/>
    <w:next w:val="1"/>
    <w:autoRedefine/>
    <w:qFormat/>
    <w:uiPriority w:val="99"/>
    <w:pPr>
      <w:widowControl/>
      <w:ind w:firstLine="420" w:firstLineChars="100"/>
      <w:jc w:val="left"/>
    </w:pPr>
    <w:rPr>
      <w:kern w:val="0"/>
    </w:rPr>
  </w:style>
  <w:style w:type="paragraph" w:customStyle="1" w:styleId="51">
    <w:name w:val="纯文本1"/>
    <w:basedOn w:val="1"/>
    <w:autoRedefine/>
    <w:qFormat/>
    <w:uiPriority w:val="0"/>
    <w:rPr>
      <w:rFonts w:ascii="宋体" w:hAnsi="Courier New" w:eastAsia="宋体"/>
      <w:kern w:val="0"/>
      <w:sz w:val="20"/>
      <w:szCs w:val="21"/>
    </w:rPr>
  </w:style>
  <w:style w:type="paragraph" w:customStyle="1" w:styleId="52">
    <w:name w:val="纯文本2"/>
    <w:basedOn w:val="1"/>
    <w:autoRedefine/>
    <w:qFormat/>
    <w:uiPriority w:val="0"/>
    <w:rPr>
      <w:rFonts w:ascii="宋体" w:hAnsi="Courier New" w:eastAsia="宋体"/>
      <w:sz w:val="20"/>
    </w:rPr>
  </w:style>
  <w:style w:type="paragraph" w:customStyle="1" w:styleId="53">
    <w:name w:val="纯文本11"/>
    <w:basedOn w:val="1"/>
    <w:autoRedefine/>
    <w:qFormat/>
    <w:uiPriority w:val="0"/>
    <w:rPr>
      <w:rFonts w:ascii="宋体" w:hAnsi="Courier New" w:eastAsia="宋体"/>
      <w:sz w:val="21"/>
      <w:szCs w:val="22"/>
    </w:rPr>
  </w:style>
  <w:style w:type="paragraph" w:customStyle="1" w:styleId="54">
    <w:name w:val="正文缩进1"/>
    <w:basedOn w:val="1"/>
    <w:next w:val="11"/>
    <w:autoRedefine/>
    <w:qFormat/>
    <w:uiPriority w:val="0"/>
    <w:pPr>
      <w:autoSpaceDE w:val="0"/>
      <w:autoSpaceDN w:val="0"/>
      <w:adjustRightInd w:val="0"/>
      <w:snapToGrid w:val="0"/>
      <w:spacing w:after="120" w:line="360" w:lineRule="auto"/>
      <w:ind w:left="420" w:leftChars="200" w:firstLine="480" w:firstLineChars="200"/>
    </w:pPr>
    <w:rPr>
      <w:rFonts w:eastAsia="宋体"/>
      <w:sz w:val="24"/>
      <w:szCs w:val="21"/>
    </w:rPr>
  </w:style>
  <w:style w:type="paragraph" w:customStyle="1" w:styleId="55">
    <w:name w:val="text-tag"/>
    <w:basedOn w:val="1"/>
    <w:autoRedefine/>
    <w:semiHidden/>
    <w:qFormat/>
    <w:uiPriority w:val="99"/>
    <w:pPr>
      <w:widowControl/>
      <w:spacing w:before="100" w:beforeAutospacing="1" w:after="100" w:afterAutospacing="1"/>
      <w:jc w:val="left"/>
    </w:pPr>
    <w:rPr>
      <w:rFonts w:ascii="宋体" w:hAnsi="宋体" w:eastAsia="宋体" w:cs="宋体"/>
      <w:kern w:val="0"/>
      <w:sz w:val="24"/>
    </w:rPr>
  </w:style>
  <w:style w:type="paragraph" w:customStyle="1" w:styleId="56">
    <w:name w:val="p0"/>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57">
    <w:name w:val="[Normal]"/>
    <w:autoRedefine/>
    <w:qFormat/>
    <w:uiPriority w:val="99"/>
    <w:rPr>
      <w:rFonts w:ascii="宋体" w:hAnsi="宋体" w:eastAsia="宋体" w:cs="Times New Roman"/>
      <w:sz w:val="24"/>
      <w:szCs w:val="22"/>
      <w:lang w:val="zh-CN" w:eastAsia="zh-CN" w:bidi="ar-SA"/>
    </w:rPr>
  </w:style>
  <w:style w:type="paragraph" w:customStyle="1" w:styleId="58">
    <w:name w:val="dyibufen"/>
    <w:basedOn w:val="1"/>
    <w:autoRedefine/>
    <w:qFormat/>
    <w:uiPriority w:val="0"/>
    <w:pPr>
      <w:spacing w:line="360" w:lineRule="auto"/>
      <w:jc w:val="center"/>
      <w:outlineLvl w:val="0"/>
    </w:pPr>
    <w:rPr>
      <w:rFonts w:ascii="宋体" w:hAnsi="宋体" w:eastAsia="宋体"/>
      <w:b/>
      <w:color w:val="000000"/>
      <w:szCs w:val="32"/>
    </w:rPr>
  </w:style>
  <w:style w:type="paragraph" w:customStyle="1" w:styleId="59">
    <w:name w:val="_Style 2"/>
    <w:basedOn w:val="1"/>
    <w:autoRedefine/>
    <w:qFormat/>
    <w:uiPriority w:val="0"/>
    <w:pPr>
      <w:spacing w:line="360" w:lineRule="auto"/>
      <w:ind w:firstLine="420" w:firstLineChars="200"/>
    </w:pPr>
    <w:rPr>
      <w:rFonts w:eastAsia="宋体"/>
      <w:sz w:val="24"/>
    </w:rPr>
  </w:style>
  <w:style w:type="character" w:customStyle="1" w:styleId="60">
    <w:name w:val="10"/>
    <w:basedOn w:val="27"/>
    <w:autoRedefine/>
    <w:qFormat/>
    <w:uiPriority w:val="0"/>
    <w:rPr>
      <w:rFonts w:hint="default" w:ascii="Times New Roman" w:hAnsi="Times New Roman" w:eastAsia="宋体" w:cs="Times New Roman"/>
    </w:rPr>
  </w:style>
  <w:style w:type="character" w:customStyle="1" w:styleId="61">
    <w:name w:val="15"/>
    <w:basedOn w:val="27"/>
    <w:autoRedefine/>
    <w:qFormat/>
    <w:uiPriority w:val="0"/>
    <w:rPr>
      <w:rFonts w:hint="default" w:ascii="Times New Roman" w:hAnsi="Times New Roman" w:eastAsia="宋体" w:cs="Times New Roman"/>
    </w:rPr>
  </w:style>
  <w:style w:type="character" w:customStyle="1" w:styleId="62">
    <w:name w:val="纯文本 Char"/>
    <w:link w:val="13"/>
    <w:autoRedefine/>
    <w:qFormat/>
    <w:uiPriority w:val="0"/>
    <w:rPr>
      <w:rFonts w:ascii="宋体" w:hAnsi="Courier New"/>
    </w:rPr>
  </w:style>
  <w:style w:type="character" w:customStyle="1" w:styleId="63">
    <w:name w:val="未处理的提及1"/>
    <w:basedOn w:val="2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7"/>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BC955B-FA6E-4EDF-A684-90EEA66B850A}">
  <ds:schemaRefs/>
</ds:datastoreItem>
</file>

<file path=docProps/app.xml><?xml version="1.0" encoding="utf-8"?>
<Properties xmlns="http://schemas.openxmlformats.org/officeDocument/2006/extended-properties" xmlns:vt="http://schemas.openxmlformats.org/officeDocument/2006/docPropsVTypes">
  <Template>Normal.dotm</Template>
  <Company>cjzc</Company>
  <Pages>115</Pages>
  <Words>5779</Words>
  <Characters>6834</Characters>
  <Lines>510</Lines>
  <Paragraphs>143</Paragraphs>
  <TotalTime>25</TotalTime>
  <ScaleCrop>false</ScaleCrop>
  <LinksUpToDate>false</LinksUpToDate>
  <CharactersWithSpaces>7048</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2023-11-26T02:00:00Z</dcterms:created>
  <dc:creator>pc</dc:creator>
  <cp:lastModifiedBy>WPS_1646885162</cp:lastModifiedBy>
  <cp:lastPrinted>2024-05-08T00:08:00Z</cp:lastPrinted>
  <dcterms:modified xsi:type="dcterms:W3CDTF">2024-10-30T02:37:09Z</dcterms:modified>
  <dc:title>杭州市城市建设资产经营有限公司董事会文件</dc:title>
  <cp:revision>161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480F27C54B8844BE9BD4CF1596BE65EC_13</vt:lpwstr>
  </property>
</Properties>
</file>